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F3" w:rsidRPr="00262130" w:rsidRDefault="003F25F3" w:rsidP="003F25F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3F25F3" w:rsidRDefault="003F25F3" w:rsidP="003F25F3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CONSILIUL SĂTESC CIUCUR-MINGIR</w:t>
      </w:r>
    </w:p>
    <w:p w:rsidR="003F25F3" w:rsidRPr="000A56C1" w:rsidRDefault="003F25F3" w:rsidP="003F25F3">
      <w:pPr>
        <w:spacing w:after="0"/>
        <w:jc w:val="center"/>
        <w:rPr>
          <w:lang w:val="en-US"/>
        </w:rPr>
      </w:pPr>
      <w:r w:rsidRPr="008222C2">
        <w:rPr>
          <w:rFonts w:ascii="Times New Roman" w:hAnsi="Times New Roman" w:cs="Times New Roman"/>
          <w:szCs w:val="20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3F25F3" w:rsidRDefault="003F25F3" w:rsidP="003F25F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F25F3" w:rsidRPr="0048019C" w:rsidRDefault="003F25F3" w:rsidP="003F25F3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DECIZIE         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3F25F3" w:rsidRDefault="003F25F3" w:rsidP="003F25F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2021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nr. ____</w:t>
      </w:r>
    </w:p>
    <w:p w:rsidR="003F25F3" w:rsidRDefault="003F25F3" w:rsidP="003F25F3">
      <w:pPr>
        <w:spacing w:after="0" w:line="240" w:lineRule="auto"/>
        <w:rPr>
          <w:rFonts w:ascii="Times New Roman" w:hAnsi="Times New Roman" w:cs="Times New Roman"/>
          <w:b/>
          <w:i/>
          <w:sz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lang w:val="ro-RO"/>
        </w:rPr>
        <w:t>„Cu privire la aprobarea bugetului primăriei</w:t>
      </w:r>
    </w:p>
    <w:p w:rsidR="003F25F3" w:rsidRDefault="003F25F3" w:rsidP="003F25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ro-RO"/>
        </w:rPr>
        <w:t xml:space="preserve"> pentru anul 2022  în a doua lectură”</w:t>
      </w:r>
    </w:p>
    <w:p w:rsidR="003F25F3" w:rsidRDefault="003F25F3" w:rsidP="003F25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F25F3" w:rsidRPr="00D12736" w:rsidRDefault="003F25F3" w:rsidP="003F25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art.14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>), n</w:t>
      </w:r>
      <w:r w:rsidRPr="00D127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), art.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19,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nr.436-XVI din 28.12.2006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art. 20 al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nr.397-XV din 16.10.2003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locale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art.24, 25, 47, 55 ale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 181 din 25.07.2014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47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48 ale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419-XVI din 22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2006 cu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datoria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garanţiile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recreditarea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de stat ,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anexa nr.2 a HG 1404 din 30.12.2004 privind reglementarea utilizării de către APL a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ro-RO"/>
        </w:rPr>
        <w:t>autoturizmelor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de serviciu,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4C07">
        <w:rPr>
          <w:rFonts w:ascii="Times New Roman" w:hAnsi="Times New Roman" w:cs="Times New Roman"/>
          <w:sz w:val="24"/>
          <w:szCs w:val="24"/>
          <w:lang w:val="en-US"/>
        </w:rPr>
        <w:t>circulara</w:t>
      </w:r>
      <w:proofErr w:type="spellEnd"/>
      <w:r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nr.06/2-07</w:t>
      </w:r>
      <w:r>
        <w:rPr>
          <w:rFonts w:ascii="Times New Roman" w:hAnsi="Times New Roman" w:cs="Times New Roman"/>
          <w:sz w:val="24"/>
          <w:szCs w:val="24"/>
          <w:lang w:val="en-US"/>
        </w:rPr>
        <w:t>-44</w:t>
      </w:r>
      <w:r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944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ministrului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 208 din 24.12.2015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clasificaţia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bugetară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prevedrile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Setului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metodologic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ministrului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nr. 209 din 24.12.2015,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Ciucur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en-US"/>
        </w:rPr>
        <w:t>Mingir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3EF5">
        <w:rPr>
          <w:rFonts w:ascii="Times New Roman" w:hAnsi="Times New Roman" w:cs="Times New Roman"/>
          <w:b/>
          <w:i/>
          <w:sz w:val="24"/>
          <w:szCs w:val="24"/>
          <w:lang w:val="en-US"/>
        </w:rPr>
        <w:t>DECIDE:</w:t>
      </w:r>
    </w:p>
    <w:p w:rsidR="003F25F3" w:rsidRPr="00D12736" w:rsidRDefault="003F25F3" w:rsidP="003F25F3">
      <w:pPr>
        <w:pStyle w:val="Listparagraf"/>
        <w:numPr>
          <w:ilvl w:val="0"/>
          <w:numId w:val="1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>
        <w:rPr>
          <w:rFonts w:ascii="Times New Roman" w:hAnsi="Times New Roman" w:cs="Times New Roman"/>
          <w:sz w:val="24"/>
          <w:szCs w:val="24"/>
          <w:lang w:val="ro-RO"/>
        </w:rPr>
        <w:t>în a doua lectură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bugetul Prim</w:t>
      </w:r>
      <w:r>
        <w:rPr>
          <w:rFonts w:ascii="Times New Roman" w:hAnsi="Times New Roman" w:cs="Times New Roman"/>
          <w:sz w:val="24"/>
          <w:szCs w:val="24"/>
          <w:lang w:val="ro-RO"/>
        </w:rPr>
        <w:t>ăriei Ciucur-Mingir pe anul 2022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la venituri în sumă de </w:t>
      </w:r>
      <w:r>
        <w:rPr>
          <w:rFonts w:ascii="Times New Roman" w:hAnsi="Times New Roman" w:cs="Times New Roman"/>
          <w:sz w:val="24"/>
          <w:szCs w:val="24"/>
          <w:lang w:val="ro-RO"/>
        </w:rPr>
        <w:t>2548,8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mii lei, la cheltuieli în sumă de </w:t>
      </w:r>
      <w:r>
        <w:rPr>
          <w:rFonts w:ascii="Times New Roman" w:hAnsi="Times New Roman" w:cs="Times New Roman"/>
          <w:sz w:val="24"/>
          <w:szCs w:val="24"/>
          <w:lang w:val="ro-RO"/>
        </w:rPr>
        <w:t>2548,8 mii  lei, inclusiv: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Sinteza indicatorilor generali și sursele de finanțare ale bugetului local se prezintă în anexa nr. 1;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Componența veniturilor bugetului local se prezintă în anexa nr.2;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Resursele și cheltuielile bugetului local conform clasificației funcționale și pe programe se prezintă în anexa nr.3;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Se aprobă fondul de rezervă în sumă de </w:t>
      </w:r>
      <w:r>
        <w:rPr>
          <w:rFonts w:ascii="Times New Roman" w:hAnsi="Times New Roman" w:cs="Times New Roman"/>
          <w:sz w:val="24"/>
          <w:szCs w:val="24"/>
          <w:lang w:val="ro-RO"/>
        </w:rPr>
        <w:t>20,0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mii lei</w:t>
      </w:r>
      <w:r>
        <w:rPr>
          <w:rFonts w:ascii="Times New Roman" w:hAnsi="Times New Roman" w:cs="Times New Roman"/>
          <w:sz w:val="24"/>
          <w:szCs w:val="24"/>
          <w:lang w:val="ro-RO"/>
        </w:rPr>
        <w:t>, care va fi utilizat în conformitate cu Regulamentul privind constituirea și utilizarea fondului de rezervă a consiliului local ( anexa nr.4)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Se aprobă efectivul-limită al statelor de pers</w:t>
      </w:r>
      <w:r>
        <w:rPr>
          <w:rFonts w:ascii="Times New Roman" w:hAnsi="Times New Roman" w:cs="Times New Roman"/>
          <w:sz w:val="24"/>
          <w:szCs w:val="24"/>
          <w:lang w:val="ro-RO"/>
        </w:rPr>
        <w:t>onal din APL conform anexei nr.5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Nomenclatorul tarifelor pentru serviciile cu plată prestate d</w:t>
      </w:r>
      <w:r>
        <w:rPr>
          <w:rFonts w:ascii="Times New Roman" w:hAnsi="Times New Roman" w:cs="Times New Roman"/>
          <w:sz w:val="24"/>
          <w:szCs w:val="24"/>
          <w:lang w:val="ro-RO"/>
        </w:rPr>
        <w:t>e APL se prezintă în anexa nr. 6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F25F3" w:rsidRPr="00D12736" w:rsidRDefault="003F25F3" w:rsidP="003F25F3">
      <w:pPr>
        <w:pStyle w:val="Listparagraf"/>
        <w:numPr>
          <w:ilvl w:val="1"/>
          <w:numId w:val="3"/>
        </w:num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Se aprobă parcursul limită al automobilului de serviciu de 20 mii km anual;</w:t>
      </w:r>
    </w:p>
    <w:p w:rsidR="003F25F3" w:rsidRPr="00D12736" w:rsidRDefault="003F25F3" w:rsidP="003F25F3">
      <w:pPr>
        <w:pStyle w:val="Listparagraf"/>
        <w:numPr>
          <w:ilvl w:val="0"/>
          <w:numId w:val="3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Se autorizează:</w:t>
      </w:r>
    </w:p>
    <w:p w:rsidR="003F25F3" w:rsidRPr="00D12736" w:rsidRDefault="003F25F3" w:rsidP="003F25F3">
      <w:pPr>
        <w:tabs>
          <w:tab w:val="left" w:pos="378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Dl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Ciobanu Tudor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, primarul satului Ciucur-Mingir cu rolul de administrator de buget:</w:t>
      </w:r>
    </w:p>
    <w:p w:rsidR="003F25F3" w:rsidRPr="00D12736" w:rsidRDefault="003F25F3" w:rsidP="003F25F3">
      <w:pPr>
        <w:pStyle w:val="Listparagraf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Să modifice planurile de alocații între diferite nivele de clasificație economică în cadrul aceleași funcții, în cadrul unui subprogram, fără majorarea cheltuielilor de personal;</w:t>
      </w:r>
    </w:p>
    <w:p w:rsidR="003F25F3" w:rsidRPr="00D12736" w:rsidRDefault="003F25F3" w:rsidP="003F25F3">
      <w:pPr>
        <w:pStyle w:val="Listparagraf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lastRenderedPageBreak/>
        <w:t>Să includă în programele respective de cheltuieli, în baza dispoziției, alocațiile repartizate prin decizia autorității reprezentative și deliberative din fo</w:t>
      </w: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dul de rezervă, precum și transferurile cu destinație specială de la bugetul de stat la bugetele locale, repartizate prin alte acte normative, 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ro-RO"/>
        </w:rPr>
        <w:t>decît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legea bugetului de stat;</w:t>
      </w:r>
    </w:p>
    <w:p w:rsidR="003F25F3" w:rsidRPr="00D12736" w:rsidRDefault="003F25F3" w:rsidP="003F25F3">
      <w:pPr>
        <w:pStyle w:val="Listparagraf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Autoritățile bug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>etare (</w:t>
      </w:r>
      <w:proofErr w:type="spellStart"/>
      <w:r w:rsidRPr="00D12736">
        <w:rPr>
          <w:rFonts w:ascii="Times New Roman" w:hAnsi="Times New Roman" w:cs="Times New Roman"/>
          <w:sz w:val="24"/>
          <w:szCs w:val="24"/>
          <w:lang w:val="ro-RO"/>
        </w:rPr>
        <w:t>Org</w:t>
      </w:r>
      <w:proofErr w:type="spellEnd"/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1) să modifice planurile de alocații între instituțiile subordonate între nivele k4, în cadrul aceleiași funcții (F1-F2) și aceluiași subprogram P1P2 cu respectarea limitei stabilite la nivelul k2. Totodată, autoritățile bugetare pot modifica resursele colectate între instituțiile din cadrul aceleiași funcții (F1-F2), fără modificarea limite aprobate;</w:t>
      </w:r>
    </w:p>
    <w:p w:rsidR="003F25F3" w:rsidRPr="00D12736" w:rsidRDefault="003F25F3" w:rsidP="003F25F3">
      <w:pPr>
        <w:pStyle w:val="Listparagraf"/>
        <w:numPr>
          <w:ilvl w:val="0"/>
          <w:numId w:val="2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>Instituțiile bugetare să modifice planurile de alocații între nivele k5-k6, cu respectarea limitei stabilite la nivel k4 al clasificației economice de către instituția superioară.</w:t>
      </w:r>
    </w:p>
    <w:p w:rsidR="003F25F3" w:rsidRPr="00D12736" w:rsidRDefault="003F25F3" w:rsidP="003F25F3">
      <w:pPr>
        <w:pStyle w:val="Listparagraf"/>
        <w:numPr>
          <w:ilvl w:val="0"/>
          <w:numId w:val="3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Dna  Costaș Nadejda,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local, va asigura aducerea la cunoștință publică, prin publicarea sau afișarea în locuri publice, a prezentei decizii și anexele acesteia în termen de maxim 5 zile de la semnarea deciziei.</w:t>
      </w:r>
    </w:p>
    <w:p w:rsidR="003F25F3" w:rsidRPr="00B06E32" w:rsidRDefault="003F25F3" w:rsidP="003F25F3">
      <w:pPr>
        <w:pStyle w:val="1"/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Au votat: pentru – </w:t>
      </w:r>
      <w:r w:rsidRPr="001E4715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643C42">
        <w:rPr>
          <w:rFonts w:ascii="Times New Roman" w:hAnsi="Times New Roman"/>
          <w:sz w:val="24"/>
          <w:szCs w:val="24"/>
          <w:lang w:val="ro-RO"/>
        </w:rPr>
        <w:t>împotrivă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Pr="001E4715">
        <w:rPr>
          <w:rFonts w:ascii="Times New Roman" w:hAnsi="Times New Roman"/>
          <w:sz w:val="24"/>
          <w:szCs w:val="24"/>
          <w:lang w:val="ro-RO"/>
        </w:rPr>
        <w:t xml:space="preserve">, s-au abținut – </w:t>
      </w:r>
    </w:p>
    <w:p w:rsidR="003F25F3" w:rsidRPr="00D12736" w:rsidRDefault="003F25F3" w:rsidP="003F25F3">
      <w:p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Președintele ședinței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F25F3" w:rsidRDefault="003F25F3" w:rsidP="003F25F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Secre</w:t>
      </w:r>
      <w:r>
        <w:rPr>
          <w:rFonts w:ascii="Times New Roman" w:hAnsi="Times New Roman" w:cs="Times New Roman"/>
          <w:sz w:val="24"/>
          <w:szCs w:val="24"/>
          <w:lang w:val="ro-RO"/>
        </w:rPr>
        <w:t>ta</w:t>
      </w:r>
      <w:r w:rsidRPr="00D12736">
        <w:rPr>
          <w:rFonts w:ascii="Times New Roman" w:hAnsi="Times New Roman" w:cs="Times New Roman"/>
          <w:sz w:val="24"/>
          <w:szCs w:val="24"/>
          <w:lang w:val="ro-RO"/>
        </w:rPr>
        <w:t xml:space="preserve">rul Consiliului Local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</w:p>
    <w:p w:rsidR="003F25F3" w:rsidRDefault="003F25F3" w:rsidP="003F25F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5F3" w:rsidRDefault="003F25F3" w:rsidP="003F25F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5F3" w:rsidRDefault="003F25F3" w:rsidP="003F25F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5F3" w:rsidRDefault="003F25F3" w:rsidP="003F25F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0E46" w:rsidRDefault="00D70E46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>
      <w:pPr>
        <w:rPr>
          <w:lang w:val="ro-MO"/>
        </w:rPr>
      </w:pPr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lastRenderedPageBreak/>
        <w:t>Anexa1</w:t>
      </w:r>
    </w:p>
    <w:p w:rsidR="003F25F3" w:rsidRDefault="003F25F3" w:rsidP="003F25F3">
      <w:pPr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Sinteza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indicatorilor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generali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sursele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lang w:val="en-US"/>
        </w:rPr>
        <w:t>finantare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b/>
          <w:lang w:val="en-US"/>
        </w:rPr>
        <w:t>bugetului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local</w:t>
      </w:r>
    </w:p>
    <w:p w:rsidR="003F25F3" w:rsidRDefault="003F25F3" w:rsidP="003F25F3">
      <w:pPr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Style w:val="GrilTabel"/>
        <w:tblpPr w:leftFromText="180" w:rightFromText="180" w:vertAnchor="page" w:horzAnchor="margin" w:tblpY="2161"/>
        <w:tblW w:w="0" w:type="auto"/>
        <w:tblLook w:val="04A0"/>
      </w:tblPr>
      <w:tblGrid>
        <w:gridCol w:w="6203"/>
        <w:gridCol w:w="1842"/>
        <w:gridCol w:w="1525"/>
      </w:tblGrid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 . VENITURI 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2548,8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Inclusiv transferuri de la bugetul de stat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1497,2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II.  CHELTUIELI,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2+3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2548,8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II.1. 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1978,5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II.2. Active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nefinanciare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570,3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III. SOLD BUGETAR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1-(2+3)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IV. SURSELE DE FINANȚARE,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4+5+9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3F25F3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soldului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mijloace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bănești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3F25F3" w:rsidRDefault="003F25F3" w:rsidP="003F25F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lang w:val="en-US"/>
        </w:rPr>
        <w:t>Costaș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Nadejda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L.Ș.</w:t>
      </w:r>
      <w:proofErr w:type="gramEnd"/>
      <w:r>
        <w:rPr>
          <w:rFonts w:ascii="Times New Roman" w:hAnsi="Times New Roman" w:cs="Times New Roman"/>
          <w:lang w:val="en-US"/>
        </w:rPr>
        <w:t xml:space="preserve">                   </w:t>
      </w:r>
    </w:p>
    <w:p w:rsidR="003F25F3" w:rsidRPr="00F060D6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Anexa2 </w:t>
      </w:r>
    </w:p>
    <w:p w:rsidR="003F25F3" w:rsidRPr="00F060D6" w:rsidRDefault="003F25F3" w:rsidP="003F25F3">
      <w:pPr>
        <w:rPr>
          <w:rFonts w:ascii="Times New Roman" w:hAnsi="Times New Roman" w:cs="Times New Roman"/>
          <w:b/>
          <w:lang w:val="ro-RO"/>
        </w:rPr>
      </w:pPr>
      <w:r w:rsidRPr="00F060D6">
        <w:rPr>
          <w:rFonts w:ascii="Times New Roman" w:hAnsi="Times New Roman" w:cs="Times New Roman"/>
          <w:b/>
          <w:lang w:val="ro-RO"/>
        </w:rPr>
        <w:t>Componența veniturilor bugetului</w:t>
      </w:r>
    </w:p>
    <w:tbl>
      <w:tblPr>
        <w:tblStyle w:val="GrilTabel"/>
        <w:tblW w:w="0" w:type="auto"/>
        <w:tblLook w:val="04A0"/>
      </w:tblPr>
      <w:tblGrid>
        <w:gridCol w:w="817"/>
        <w:gridCol w:w="5387"/>
        <w:gridCol w:w="1842"/>
        <w:gridCol w:w="1418"/>
      </w:tblGrid>
      <w:tr w:rsidR="003F25F3" w:rsidRPr="00F060D6" w:rsidTr="00F03EB6">
        <w:tc>
          <w:tcPr>
            <w:tcW w:w="81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Nr. d/o</w:t>
            </w: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 xml:space="preserve">Denumirea 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Cod Eco (k6)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Suma,</w:t>
            </w:r>
          </w:p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>mii lei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Impozitul pe venit a persoanelor fizice reținut din salariu.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111110</w:t>
            </w:r>
          </w:p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111121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193,2</w:t>
            </w:r>
          </w:p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106,8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38270B" w:rsidRDefault="003F25F3" w:rsidP="00F03EB6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38270B">
              <w:rPr>
                <w:rFonts w:ascii="Times New Roman" w:hAnsi="Times New Roman" w:cs="Times New Roman"/>
                <w:iCs/>
                <w:lang w:val="ro-RO"/>
              </w:rPr>
              <w:t>I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funciar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al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juridice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și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înregistrate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calitate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întreprinzător</w:t>
            </w:r>
            <w:proofErr w:type="spellEnd"/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</w:t>
            </w:r>
            <w:r>
              <w:rPr>
                <w:rFonts w:ascii="Times New Roman" w:hAnsi="Times New Roman" w:cs="Times New Roman"/>
                <w:lang w:val="ro-RO"/>
              </w:rPr>
              <w:t>161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271,0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38270B" w:rsidRDefault="003F25F3" w:rsidP="00F03EB6">
            <w:pPr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funciar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al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fizice-cetățeni</w:t>
            </w:r>
            <w:proofErr w:type="spellEnd"/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1131</w:t>
            </w:r>
            <w:r>
              <w:rPr>
                <w:rFonts w:ascii="Times New Roman" w:hAnsi="Times New Roman" w:cs="Times New Roman"/>
                <w:lang w:val="ro-RO"/>
              </w:rPr>
              <w:t>71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Impozitul pe bunurile imobiliare ale persoanelor juridice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113210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Impozitul pe bunurile imobiliare ale persoanelor fizice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113220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Pr="00F060D6">
              <w:rPr>
                <w:rFonts w:ascii="Times New Roman" w:hAnsi="Times New Roman" w:cs="Times New Roman"/>
                <w:lang w:val="ro-RO"/>
              </w:rPr>
              <w:t>,2</w:t>
            </w:r>
          </w:p>
        </w:tc>
      </w:tr>
      <w:tr w:rsidR="003F25F3" w:rsidRPr="0038270B" w:rsidTr="00F03EB6">
        <w:trPr>
          <w:trHeight w:val="1045"/>
        </w:trPr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38270B" w:rsidRDefault="003F25F3" w:rsidP="00F03EB6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38270B">
              <w:rPr>
                <w:rFonts w:ascii="Times New Roman" w:hAnsi="Times New Roman" w:cs="Times New Roman"/>
                <w:iCs/>
                <w:lang w:val="ro-RO"/>
              </w:rPr>
              <w:t>I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imobiliare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achitat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către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juridice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și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înregistrate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calitate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întreprinzător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din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valoarea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estimată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(de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piață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) a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bunurilor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imobliare</w:t>
            </w:r>
            <w:proofErr w:type="spellEnd"/>
          </w:p>
        </w:tc>
        <w:tc>
          <w:tcPr>
            <w:tcW w:w="1842" w:type="dxa"/>
          </w:tcPr>
          <w:p w:rsidR="003F25F3" w:rsidRPr="0038270B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113230</w:t>
            </w:r>
          </w:p>
        </w:tc>
        <w:tc>
          <w:tcPr>
            <w:tcW w:w="1418" w:type="dxa"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0,9</w:t>
            </w:r>
          </w:p>
        </w:tc>
      </w:tr>
      <w:tr w:rsidR="003F25F3" w:rsidRPr="0038270B" w:rsidTr="00F03EB6">
        <w:trPr>
          <w:trHeight w:val="846"/>
        </w:trPr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38270B" w:rsidRDefault="003F25F3" w:rsidP="00F03EB6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I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impozitul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imobiliare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, 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achitat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către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persoanele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fizice-cetăţeni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din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valoarea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estimată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 (de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piaţă</w:t>
            </w:r>
            <w:proofErr w:type="spellEnd"/>
            <w:r w:rsidRPr="0038270B">
              <w:rPr>
                <w:rFonts w:ascii="Times New Roman" w:hAnsi="Times New Roman" w:cs="Times New Roman"/>
                <w:iCs/>
                <w:lang w:val="en-US"/>
              </w:rPr>
              <w:t xml:space="preserve">) a </w:t>
            </w:r>
            <w:proofErr w:type="spellStart"/>
            <w:r w:rsidRPr="0038270B">
              <w:rPr>
                <w:rFonts w:ascii="Times New Roman" w:hAnsi="Times New Roman" w:cs="Times New Roman"/>
                <w:iCs/>
                <w:lang w:val="en-US"/>
              </w:rPr>
              <w:t>bunurilor</w:t>
            </w:r>
            <w:proofErr w:type="spellEnd"/>
          </w:p>
        </w:tc>
        <w:tc>
          <w:tcPr>
            <w:tcW w:w="1842" w:type="dxa"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113240</w:t>
            </w:r>
          </w:p>
        </w:tc>
        <w:tc>
          <w:tcPr>
            <w:tcW w:w="1418" w:type="dxa"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1,3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 pentru amenajarea teritoriului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114412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F060D6"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 pentru unitățile comerciale și/</w:t>
            </w:r>
            <w:proofErr w:type="spellStart"/>
            <w:r w:rsidRPr="00F060D6">
              <w:rPr>
                <w:rFonts w:ascii="Times New Roman" w:hAnsi="Times New Roman" w:cs="Times New Roman"/>
                <w:lang w:val="ro-RO"/>
              </w:rPr>
              <w:t>sai</w:t>
            </w:r>
            <w:proofErr w:type="spellEnd"/>
            <w:r w:rsidRPr="00F060D6">
              <w:rPr>
                <w:rFonts w:ascii="Times New Roman" w:hAnsi="Times New Roman" w:cs="Times New Roman"/>
                <w:lang w:val="ro-RO"/>
              </w:rPr>
              <w:t xml:space="preserve"> de prestări servicii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114418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F060D6">
              <w:rPr>
                <w:rFonts w:ascii="Times New Roman" w:hAnsi="Times New Roman" w:cs="Times New Roman"/>
                <w:lang w:val="ro-RO"/>
              </w:rPr>
              <w:t>6,0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Plata pentru arenda terenurilor cu destinație agricolă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141522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130,0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 xml:space="preserve">Taxa de organizare a licitațiilor și loteriilor pe teritoriul </w:t>
            </w:r>
            <w:proofErr w:type="spellStart"/>
            <w:r w:rsidRPr="00F060D6">
              <w:rPr>
                <w:rFonts w:ascii="Times New Roman" w:hAnsi="Times New Roman" w:cs="Times New Roman"/>
                <w:lang w:val="ro-RO"/>
              </w:rPr>
              <w:t>unitatii</w:t>
            </w:r>
            <w:proofErr w:type="spellEnd"/>
            <w:r w:rsidRPr="00F060D6">
              <w:rPr>
                <w:rFonts w:ascii="Times New Roman" w:hAnsi="Times New Roman" w:cs="Times New Roman"/>
                <w:lang w:val="ro-RO"/>
              </w:rPr>
              <w:t xml:space="preserve"> administrativ teritoriale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142211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F060D6">
              <w:rPr>
                <w:rFonts w:ascii="Times New Roman" w:hAnsi="Times New Roman" w:cs="Times New Roman"/>
                <w:lang w:val="ro-RO"/>
              </w:rPr>
              <w:t>,0</w:t>
            </w:r>
          </w:p>
        </w:tc>
      </w:tr>
      <w:tr w:rsidR="003F25F3" w:rsidRPr="0089580E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Plata pentru certificate de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urbanizm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și autorizație de construcții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142215</w:t>
            </w:r>
          </w:p>
        </w:tc>
        <w:tc>
          <w:tcPr>
            <w:tcW w:w="1418" w:type="dxa"/>
          </w:tcPr>
          <w:p w:rsidR="003F25F3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0,2</w:t>
            </w:r>
          </w:p>
        </w:tc>
      </w:tr>
      <w:tr w:rsidR="003F25F3" w:rsidRPr="0089580E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ro-RO"/>
              </w:rPr>
              <w:t>Incasari</w:t>
            </w:r>
            <w:proofErr w:type="spellEnd"/>
            <w:r w:rsidRPr="00F060D6">
              <w:rPr>
                <w:rFonts w:ascii="Times New Roman" w:hAnsi="Times New Roman" w:cs="Times New Roman"/>
                <w:lang w:val="ro-RO"/>
              </w:rPr>
              <w:t xml:space="preserve"> de la prestarea serviciilor cu plata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142310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250,0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Alte venituri încasate în bugetul local de nivelul 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145142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3,0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Transferuri cu destinaţie specială pentru infrastructura drumului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191216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431,1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 xml:space="preserve">Transferuri curente primite cu </w:t>
            </w:r>
            <w:proofErr w:type="spellStart"/>
            <w:r w:rsidRPr="00F060D6">
              <w:rPr>
                <w:rFonts w:ascii="Times New Roman" w:hAnsi="Times New Roman" w:cs="Times New Roman"/>
                <w:lang w:val="ro-RO"/>
              </w:rPr>
              <w:t>destinatie</w:t>
            </w:r>
            <w:proofErr w:type="spellEnd"/>
            <w:r w:rsidRPr="00F060D6">
              <w:rPr>
                <w:rFonts w:ascii="Times New Roman" w:hAnsi="Times New Roman" w:cs="Times New Roman"/>
                <w:lang w:val="ro-RO"/>
              </w:rPr>
              <w:t xml:space="preserve"> generala intre bugetul de stat si bugetele locale de nivelul 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191231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1021,8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Transferuri curente primite cu destinație generală din fondul de compensare între bugetul de stat și bugetele locale de nivelul I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191</w:t>
            </w:r>
            <w:bookmarkStart w:id="0" w:name="_GoBack"/>
            <w:bookmarkEnd w:id="0"/>
            <w:r w:rsidRPr="00F060D6">
              <w:rPr>
                <w:rFonts w:ascii="Times New Roman" w:hAnsi="Times New Roman" w:cs="Times New Roman"/>
                <w:lang w:val="ro-RO"/>
              </w:rPr>
              <w:t>232</w:t>
            </w: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44,3</w:t>
            </w:r>
          </w:p>
        </w:tc>
      </w:tr>
      <w:tr w:rsidR="003F25F3" w:rsidRPr="00F060D6" w:rsidTr="00F03EB6">
        <w:tc>
          <w:tcPr>
            <w:tcW w:w="81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387" w:type="dxa"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60D6">
              <w:rPr>
                <w:rFonts w:ascii="Times New Roman" w:hAnsi="Times New Roman" w:cs="Times New Roman"/>
                <w:b/>
                <w:lang w:val="ro-RO"/>
              </w:rPr>
              <w:t xml:space="preserve">Total: </w:t>
            </w:r>
          </w:p>
        </w:tc>
        <w:tc>
          <w:tcPr>
            <w:tcW w:w="1842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2548,8</w:t>
            </w:r>
          </w:p>
        </w:tc>
      </w:tr>
    </w:tbl>
    <w:p w:rsidR="003F25F3" w:rsidRPr="00D43EF3" w:rsidRDefault="003F25F3" w:rsidP="003F25F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060D6">
        <w:rPr>
          <w:rFonts w:ascii="Times New Roman" w:hAnsi="Times New Roman" w:cs="Times New Roman"/>
          <w:lang w:val="en-US"/>
        </w:rPr>
        <w:t>Secretarul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lang w:val="en-US"/>
        </w:rPr>
        <w:t>consiliului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lang w:val="en-US"/>
        </w:rPr>
        <w:t>Costaș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                                                     L.Ș.</w:t>
      </w:r>
      <w:proofErr w:type="gramEnd"/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Pr="00F060D6" w:rsidRDefault="003F25F3" w:rsidP="003F25F3">
      <w:pPr>
        <w:jc w:val="right"/>
        <w:rPr>
          <w:rFonts w:ascii="Times New Roman" w:hAnsi="Times New Roman" w:cs="Times New Roman"/>
          <w:lang w:val="en-US"/>
        </w:rPr>
      </w:pPr>
      <w:r w:rsidRPr="00F060D6">
        <w:rPr>
          <w:rFonts w:ascii="Times New Roman" w:hAnsi="Times New Roman" w:cs="Times New Roman"/>
          <w:b/>
          <w:u w:val="single"/>
          <w:lang w:val="en-US"/>
        </w:rPr>
        <w:lastRenderedPageBreak/>
        <w:t xml:space="preserve"> Anexa3</w:t>
      </w:r>
      <w:r w:rsidRPr="00F060D6">
        <w:rPr>
          <w:rFonts w:ascii="Times New Roman" w:hAnsi="Times New Roman" w:cs="Times New Roman"/>
          <w:lang w:val="en-US"/>
        </w:rPr>
        <w:t xml:space="preserve"> </w:t>
      </w:r>
    </w:p>
    <w:p w:rsidR="003F25F3" w:rsidRPr="00F060D6" w:rsidRDefault="003F25F3" w:rsidP="003F25F3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F060D6">
        <w:rPr>
          <w:rFonts w:ascii="Times New Roman" w:hAnsi="Times New Roman" w:cs="Times New Roman"/>
          <w:b/>
          <w:lang w:val="en-US"/>
        </w:rPr>
        <w:t>Resursele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cheltuielile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local conform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clasificației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funcționale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pe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programe</w:t>
      </w:r>
      <w:proofErr w:type="spellEnd"/>
    </w:p>
    <w:tbl>
      <w:tblPr>
        <w:tblStyle w:val="GrilTabel"/>
        <w:tblW w:w="0" w:type="auto"/>
        <w:tblLook w:val="04A0"/>
      </w:tblPr>
      <w:tblGrid>
        <w:gridCol w:w="6203"/>
        <w:gridCol w:w="1842"/>
        <w:gridCol w:w="1525"/>
      </w:tblGrid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Denumirea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Suma,mii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3F25F3" w:rsidRPr="00F060D6" w:rsidTr="00F03EB6">
        <w:trPr>
          <w:trHeight w:val="190"/>
        </w:trPr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2+3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2548,8</w:t>
            </w:r>
          </w:p>
        </w:tc>
      </w:tr>
      <w:tr w:rsidR="003F25F3" w:rsidRPr="00F060D6" w:rsidTr="00F03EB6">
        <w:trPr>
          <w:trHeight w:val="312"/>
        </w:trPr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Cheltuielile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>, total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1946,96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Dintre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care: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personal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1430,49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Aparatul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primarului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0301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1131,95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1054,51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77,44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Gestionarea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fondurilor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rezervă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și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intervenție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0802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20,0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20,0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Dezvoltarea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gospodăriei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locuințe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și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serviciilor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comunale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7502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59,0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Aprovizionarea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cu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apă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și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canalizare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7503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354,5</w:t>
            </w:r>
          </w:p>
        </w:tc>
      </w:tr>
      <w:tr w:rsidR="003F25F3" w:rsidRPr="00F060D6" w:rsidTr="00F03EB6">
        <w:trPr>
          <w:trHeight w:val="140"/>
        </w:trPr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Resurse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atrase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instituții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S3S4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297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308,0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45,5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Servicii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bibliotecă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86,9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78,6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8,3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Activitatea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caselor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cultură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389,4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366,9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22,5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Activități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culturale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8502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F060D6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Sport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P1P2 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8602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F060D6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Iluminarea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stradală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P1P2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7505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60,0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Active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nefinanciare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F060D6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Transpart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rutier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P1P2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6402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431,1</w:t>
            </w: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Alocații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caracter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general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S3S4 </w:t>
            </w:r>
            <w:r w:rsidRPr="00F060D6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431,0</w:t>
            </w:r>
          </w:p>
        </w:tc>
      </w:tr>
    </w:tbl>
    <w:p w:rsidR="003F25F3" w:rsidRPr="00F060D6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Pr="00F060D6" w:rsidRDefault="003F25F3" w:rsidP="003F25F3">
      <w:pPr>
        <w:rPr>
          <w:rFonts w:ascii="Times New Roman" w:hAnsi="Times New Roman" w:cs="Times New Roman"/>
          <w:b/>
          <w:u w:val="single"/>
          <w:lang w:val="en-US"/>
        </w:rPr>
      </w:pPr>
    </w:p>
    <w:p w:rsidR="003F25F3" w:rsidRPr="00D43EF3" w:rsidRDefault="003F25F3" w:rsidP="003F25F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060D6">
        <w:rPr>
          <w:rFonts w:ascii="Times New Roman" w:hAnsi="Times New Roman" w:cs="Times New Roman"/>
          <w:lang w:val="en-US"/>
        </w:rPr>
        <w:t>Se</w:t>
      </w:r>
      <w:r>
        <w:rPr>
          <w:rFonts w:ascii="Times New Roman" w:hAnsi="Times New Roman" w:cs="Times New Roman"/>
          <w:lang w:val="en-US"/>
        </w:rPr>
        <w:t>cretarul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lang w:val="en-US"/>
        </w:rPr>
        <w:t>Costaș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en-US"/>
        </w:rPr>
        <w:t xml:space="preserve">                                                 L.Ș.</w:t>
      </w:r>
      <w:proofErr w:type="gramEnd"/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Pr="0047333F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 w:rsidRPr="00F060D6">
        <w:rPr>
          <w:rFonts w:ascii="Times New Roman" w:hAnsi="Times New Roman" w:cs="Times New Roman"/>
          <w:b/>
          <w:u w:val="single"/>
          <w:lang w:val="en-US"/>
        </w:rPr>
        <w:lastRenderedPageBreak/>
        <w:t>Anexa4</w:t>
      </w:r>
    </w:p>
    <w:p w:rsidR="003F25F3" w:rsidRDefault="003F25F3" w:rsidP="003F25F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F25F3" w:rsidRPr="00AD0E63" w:rsidRDefault="003F25F3" w:rsidP="003F25F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D0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REGULAMENTUL</w:t>
      </w:r>
    </w:p>
    <w:p w:rsidR="003F25F3" w:rsidRPr="00206145" w:rsidRDefault="003F25F3" w:rsidP="003F25F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</w:t>
      </w:r>
    </w:p>
    <w:p w:rsidR="003F25F3" w:rsidRPr="00206145" w:rsidRDefault="003F25F3" w:rsidP="003F25F3">
      <w:pPr>
        <w:spacing w:after="0" w:line="240" w:lineRule="auto"/>
        <w:ind w:right="-5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O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Ciucur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Mingir</w:t>
      </w:r>
      <w:proofErr w:type="spellEnd"/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Dispoziţii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Regulamentul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a</w:t>
      </w:r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Ciucur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acestuia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continuare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Regulamentul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determină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evidenţă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control al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Ciucur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Ciucur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alocarea</w:t>
      </w:r>
      <w:proofErr w:type="spellEnd"/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acestuia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 fond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bănesc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constituit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de</w:t>
      </w:r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destinat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acţiuni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excepţional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imprevizibil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care nu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sînt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s.Ciucur-Mingir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ţin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competenţa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Cuantumul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următor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mărime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2%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volumul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articolului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18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nr. </w:t>
      </w:r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397-XV din 16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octombrie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2003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finanţele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locale.</w:t>
      </w:r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pot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lichidarea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consecinţelor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calamităţilor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avariilor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efectuarea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lucrărilor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proiectare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aferente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acţiuni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restabilirea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obiectelor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importanţă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locală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(care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află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balanţa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autorităţilor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locale)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calamităţilor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provocate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geologice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periculoase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acordarea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ajutorului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unic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sinistraţi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recuperarea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legate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transportarea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repartizarea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ajutoarelor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umanitare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acordate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);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acordarea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ajutorului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material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serviciului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pompieri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salvatori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îmbunătăţirea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tehnico-materiale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conform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prevederilor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imprevizibil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necesităţi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urgenţă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care,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legislaţia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ţin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competenţa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autorităţilor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locale.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încasării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executare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veniturilor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suplimentare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completat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parcursul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limita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stabilită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2%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volumul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preconizate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efectuează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deciziei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limita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alocaţiilor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cazuri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excepţionale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necesităţi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urgenţă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primarul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dispoziţiei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pînă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5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0% din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aprobarea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obligatorie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Evidenţa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controlul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utilizării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utilizează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strictă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destinaţia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F25F3" w:rsidRPr="00206145" w:rsidRDefault="003F25F3" w:rsidP="003F25F3">
      <w:pPr>
        <w:spacing w:after="0" w:line="240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neutilizat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alocate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restituie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bugetul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primăriei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conform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situaţiei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31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decembrie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F25F3" w:rsidRPr="00D43EF3" w:rsidRDefault="003F25F3" w:rsidP="003F25F3">
      <w:pPr>
        <w:rPr>
          <w:rFonts w:ascii="Times New Roman" w:hAnsi="Times New Roman" w:cs="Times New Roman"/>
          <w:lang w:val="en-US"/>
        </w:rPr>
      </w:pPr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Responsabilitatea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utilizarea</w:t>
      </w:r>
      <w:proofErr w:type="spellEnd"/>
      <w:proofErr w:type="gram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mijloacelor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rezervă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revine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primarului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oraşului</w:t>
      </w:r>
      <w:proofErr w:type="spellEnd"/>
      <w:r w:rsidRPr="002061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</w:p>
    <w:p w:rsidR="003F25F3" w:rsidRPr="00F060D6" w:rsidRDefault="003F25F3" w:rsidP="003F25F3">
      <w:pPr>
        <w:jc w:val="right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lastRenderedPageBreak/>
        <w:t>Anexa5</w:t>
      </w:r>
    </w:p>
    <w:p w:rsidR="003F25F3" w:rsidRPr="00F060D6" w:rsidRDefault="003F25F3" w:rsidP="003F25F3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F060D6">
        <w:rPr>
          <w:rFonts w:ascii="Times New Roman" w:hAnsi="Times New Roman" w:cs="Times New Roman"/>
          <w:b/>
          <w:lang w:val="en-US"/>
        </w:rPr>
        <w:t>Efectivul-limită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unităților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de personal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pe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autoritățile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>/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instituțiile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finanțate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din </w:t>
      </w:r>
      <w:proofErr w:type="spellStart"/>
      <w:r w:rsidRPr="00F060D6">
        <w:rPr>
          <w:rFonts w:ascii="Times New Roman" w:hAnsi="Times New Roman" w:cs="Times New Roman"/>
          <w:b/>
          <w:lang w:val="en-US"/>
        </w:rPr>
        <w:t>bugetul</w:t>
      </w:r>
      <w:proofErr w:type="spellEnd"/>
      <w:r w:rsidRPr="00F060D6">
        <w:rPr>
          <w:rFonts w:ascii="Times New Roman" w:hAnsi="Times New Roman" w:cs="Times New Roman"/>
          <w:b/>
          <w:lang w:val="en-US"/>
        </w:rPr>
        <w:t xml:space="preserve"> local</w:t>
      </w:r>
    </w:p>
    <w:tbl>
      <w:tblPr>
        <w:tblStyle w:val="GrilTabel"/>
        <w:tblW w:w="0" w:type="auto"/>
        <w:tblLook w:val="04A0"/>
      </w:tblPr>
      <w:tblGrid>
        <w:gridCol w:w="6046"/>
        <w:gridCol w:w="1821"/>
        <w:gridCol w:w="1703"/>
      </w:tblGrid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Cod Org1/Org2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Efectivul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personal,unități</w:t>
            </w:r>
            <w:proofErr w:type="spellEnd"/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Aparatul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primarului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1244/10885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11,</w:t>
            </w: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Funcționari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cu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demnitate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publică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Funcționari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publici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conducere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Secretarul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Consiliului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local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Funcționari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publici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execuție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3,0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Contabil-șef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Specialist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problemele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perceperii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fiscale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 xml:space="preserve">Specialist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domeniul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reglementării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proprietății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funciare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specialitate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Contabil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Muncitori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60D6">
              <w:rPr>
                <w:rFonts w:ascii="Times New Roman" w:hAnsi="Times New Roman" w:cs="Times New Roman"/>
                <w:b/>
                <w:lang w:val="en-US"/>
              </w:rPr>
              <w:t>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Paznic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2,0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Femeie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Fochist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Conducător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auto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Electrician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E117E">
              <w:rPr>
                <w:rFonts w:ascii="Times New Roman" w:hAnsi="Times New Roman" w:cs="Times New Roman"/>
                <w:b/>
                <w:lang w:val="en-US"/>
              </w:rPr>
              <w:t>Aprovizionarea</w:t>
            </w:r>
            <w:proofErr w:type="spellEnd"/>
            <w:r w:rsidRPr="00FE117E">
              <w:rPr>
                <w:rFonts w:ascii="Times New Roman" w:hAnsi="Times New Roman" w:cs="Times New Roman"/>
                <w:b/>
                <w:lang w:val="en-US"/>
              </w:rPr>
              <w:t xml:space="preserve"> cu </w:t>
            </w:r>
            <w:proofErr w:type="spellStart"/>
            <w:r w:rsidRPr="00FE117E">
              <w:rPr>
                <w:rFonts w:ascii="Times New Roman" w:hAnsi="Times New Roman" w:cs="Times New Roman"/>
                <w:b/>
                <w:lang w:val="en-US"/>
              </w:rPr>
              <w:t>apă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E117E">
              <w:rPr>
                <w:rFonts w:ascii="Times New Roman" w:hAnsi="Times New Roman" w:cs="Times New Roman"/>
                <w:b/>
                <w:lang w:val="en-US"/>
              </w:rPr>
              <w:t>1244/10885C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3F25F3">
            <w:pPr>
              <w:pStyle w:val="Listparagraf"/>
              <w:numPr>
                <w:ilvl w:val="1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Lăcătuș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Biblioteca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1244/06583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specialitate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Bibliotecar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Muncitori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Femeie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Casa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cultură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,,</w:t>
            </w:r>
            <w:proofErr w:type="spellStart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Ilarion</w:t>
            </w:r>
            <w:proofErr w:type="spellEnd"/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CIOBANU,,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u w:val="single"/>
                <w:lang w:val="en-US"/>
              </w:rPr>
              <w:t>1244/06584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5,5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conducere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F060D6">
              <w:rPr>
                <w:rFonts w:ascii="Times New Roman" w:hAnsi="Times New Roman" w:cs="Times New Roman"/>
                <w:lang w:val="en-US"/>
              </w:rPr>
              <w:t>Director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1,0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Personal de </w:t>
            </w: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specialitate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Acompaniator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0,5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b/>
                <w:lang w:val="en-US"/>
              </w:rPr>
              <w:t>Muncitori</w:t>
            </w:r>
            <w:proofErr w:type="spellEnd"/>
            <w:r w:rsidRPr="00F060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4,0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Paznic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2,0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3F25F3">
            <w:pPr>
              <w:pStyle w:val="Listparagraf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Femeie</w:t>
            </w:r>
            <w:proofErr w:type="spellEnd"/>
            <w:r w:rsidRPr="00F060D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F060D6">
              <w:rPr>
                <w:rFonts w:ascii="Times New Roman" w:hAnsi="Times New Roman" w:cs="Times New Roman"/>
                <w:lang w:val="en-US"/>
              </w:rPr>
              <w:t>serviciu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E117E" w:rsidRDefault="003F25F3" w:rsidP="00F03EB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E117E">
              <w:rPr>
                <w:rFonts w:ascii="Times New Roman" w:hAnsi="Times New Roman" w:cs="Times New Roman"/>
                <w:i/>
                <w:lang w:val="en-US"/>
              </w:rPr>
              <w:t>2,0</w:t>
            </w:r>
          </w:p>
        </w:tc>
      </w:tr>
      <w:tr w:rsidR="003F25F3" w:rsidRPr="00F060D6" w:rsidTr="00F03EB6"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60D6">
              <w:rPr>
                <w:rFonts w:ascii="Times New Roman" w:hAnsi="Times New Roman" w:cs="Times New Roman"/>
                <w:b/>
                <w:lang w:val="en-US"/>
              </w:rPr>
              <w:t>TOTAL UNITĂȚI PE PRIMĂRIE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F3" w:rsidRPr="00F060D6" w:rsidRDefault="003F25F3" w:rsidP="00F03E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19,0</w:t>
            </w:r>
          </w:p>
        </w:tc>
      </w:tr>
    </w:tbl>
    <w:p w:rsidR="003F25F3" w:rsidRDefault="003F25F3" w:rsidP="003F25F3">
      <w:pPr>
        <w:rPr>
          <w:rFonts w:ascii="Times New Roman" w:hAnsi="Times New Roman" w:cs="Times New Roman"/>
          <w:lang w:val="ro-RO"/>
        </w:rPr>
      </w:pPr>
      <w:r w:rsidRPr="00F060D6">
        <w:rPr>
          <w:rFonts w:ascii="Times New Roman" w:hAnsi="Times New Roman" w:cs="Times New Roman"/>
          <w:lang w:val="ro-RO"/>
        </w:rPr>
        <w:t xml:space="preserve">Secretar al consiliului   </w:t>
      </w:r>
      <w:proofErr w:type="spellStart"/>
      <w:r>
        <w:rPr>
          <w:rFonts w:ascii="Times New Roman" w:hAnsi="Times New Roman" w:cs="Times New Roman"/>
          <w:lang w:val="en-US"/>
        </w:rPr>
        <w:t>Costaș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ro-RO"/>
        </w:rPr>
        <w:t xml:space="preserve">                                                             L.Ș.</w:t>
      </w:r>
    </w:p>
    <w:p w:rsidR="003F25F3" w:rsidRPr="00F060D6" w:rsidRDefault="003F25F3" w:rsidP="003F25F3">
      <w:pPr>
        <w:rPr>
          <w:rFonts w:ascii="Times New Roman" w:hAnsi="Times New Roman" w:cs="Times New Roman"/>
          <w:lang w:val="ro-RO"/>
        </w:rPr>
      </w:pPr>
    </w:p>
    <w:p w:rsidR="003F25F3" w:rsidRPr="00F060D6" w:rsidRDefault="003F25F3" w:rsidP="003F25F3">
      <w:pPr>
        <w:jc w:val="right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Anexa 6</w:t>
      </w:r>
    </w:p>
    <w:p w:rsidR="003F25F3" w:rsidRPr="00F060D6" w:rsidRDefault="003F25F3" w:rsidP="003F25F3">
      <w:pPr>
        <w:jc w:val="center"/>
        <w:rPr>
          <w:rFonts w:ascii="Times New Roman" w:hAnsi="Times New Roman" w:cs="Times New Roman"/>
          <w:lang w:val="ro-RO"/>
        </w:rPr>
      </w:pPr>
      <w:r w:rsidRPr="00F060D6">
        <w:rPr>
          <w:rFonts w:ascii="Times New Roman" w:hAnsi="Times New Roman" w:cs="Times New Roman"/>
          <w:b/>
          <w:lang w:val="ro-RO"/>
        </w:rPr>
        <w:t>Nomenclatorul tarifelor pentru serviciile cu plată prestate de APL</w:t>
      </w:r>
    </w:p>
    <w:tbl>
      <w:tblPr>
        <w:tblStyle w:val="GrilTabel"/>
        <w:tblW w:w="0" w:type="auto"/>
        <w:tblLook w:val="04A0"/>
      </w:tblPr>
      <w:tblGrid>
        <w:gridCol w:w="546"/>
        <w:gridCol w:w="5837"/>
        <w:gridCol w:w="3187"/>
      </w:tblGrid>
      <w:tr w:rsidR="003F25F3" w:rsidRPr="00F060D6" w:rsidTr="00F03EB6">
        <w:tc>
          <w:tcPr>
            <w:tcW w:w="546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N/o</w:t>
            </w:r>
          </w:p>
        </w:tc>
        <w:tc>
          <w:tcPr>
            <w:tcW w:w="5837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Denumirea</w:t>
            </w:r>
          </w:p>
        </w:tc>
        <w:tc>
          <w:tcPr>
            <w:tcW w:w="3187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Taxa</w:t>
            </w:r>
          </w:p>
        </w:tc>
      </w:tr>
      <w:tr w:rsidR="003F25F3" w:rsidRPr="00F060D6" w:rsidTr="00F03EB6">
        <w:tc>
          <w:tcPr>
            <w:tcW w:w="546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37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Darea în locațiune a holului Casei de cultură</w:t>
            </w:r>
          </w:p>
        </w:tc>
        <w:tc>
          <w:tcPr>
            <w:tcW w:w="3187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100lei/ora</w:t>
            </w:r>
          </w:p>
        </w:tc>
      </w:tr>
      <w:tr w:rsidR="003F25F3" w:rsidRPr="00F060D6" w:rsidTr="00F03EB6">
        <w:tc>
          <w:tcPr>
            <w:tcW w:w="546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37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Darea în locațiune a sălii mari a Casei de cultură</w:t>
            </w:r>
          </w:p>
        </w:tc>
        <w:tc>
          <w:tcPr>
            <w:tcW w:w="3187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250 lei/ora</w:t>
            </w:r>
          </w:p>
        </w:tc>
      </w:tr>
      <w:tr w:rsidR="003F25F3" w:rsidRPr="00F060D6" w:rsidTr="00F03EB6">
        <w:tc>
          <w:tcPr>
            <w:tcW w:w="546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37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Darea în locațiune a sălii mici a Casei de cultură</w:t>
            </w:r>
          </w:p>
        </w:tc>
        <w:tc>
          <w:tcPr>
            <w:tcW w:w="3187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80 lei/ora</w:t>
            </w:r>
          </w:p>
        </w:tc>
      </w:tr>
      <w:tr w:rsidR="003F25F3" w:rsidRPr="00F060D6" w:rsidTr="00F03EB6">
        <w:tc>
          <w:tcPr>
            <w:tcW w:w="546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5837" w:type="dxa"/>
          </w:tcPr>
          <w:p w:rsidR="003F25F3" w:rsidRPr="00F060D6" w:rsidRDefault="003F25F3" w:rsidP="00F03EB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Plata unui m</w:t>
            </w:r>
            <w:r w:rsidRPr="00F060D6">
              <w:rPr>
                <w:rFonts w:ascii="Times New Roman" w:hAnsi="Times New Roman" w:cs="Times New Roman"/>
                <w:vertAlign w:val="superscript"/>
                <w:lang w:val="ro-RO"/>
              </w:rPr>
              <w:t>3</w:t>
            </w:r>
            <w:r w:rsidRPr="00F060D6">
              <w:rPr>
                <w:rFonts w:ascii="Times New Roman" w:hAnsi="Times New Roman" w:cs="Times New Roman"/>
                <w:lang w:val="ro-RO"/>
              </w:rPr>
              <w:t xml:space="preserve"> de apă potabilă consumată de populație</w:t>
            </w:r>
          </w:p>
        </w:tc>
        <w:tc>
          <w:tcPr>
            <w:tcW w:w="3187" w:type="dxa"/>
          </w:tcPr>
          <w:p w:rsidR="003F25F3" w:rsidRPr="00F060D6" w:rsidRDefault="003F25F3" w:rsidP="00F03EB6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F060D6">
              <w:rPr>
                <w:rFonts w:ascii="Times New Roman" w:hAnsi="Times New Roman" w:cs="Times New Roman"/>
                <w:lang w:val="ro-RO"/>
              </w:rPr>
              <w:t>10 lei/m</w:t>
            </w:r>
            <w:r w:rsidRPr="00F060D6">
              <w:rPr>
                <w:rFonts w:ascii="Times New Roman" w:hAnsi="Times New Roman" w:cs="Times New Roman"/>
                <w:vertAlign w:val="superscript"/>
                <w:lang w:val="ro-RO"/>
              </w:rPr>
              <w:t>3</w:t>
            </w:r>
          </w:p>
        </w:tc>
      </w:tr>
    </w:tbl>
    <w:p w:rsidR="003F25F3" w:rsidRPr="00F060D6" w:rsidRDefault="003F25F3" w:rsidP="003F25F3">
      <w:pPr>
        <w:rPr>
          <w:rFonts w:ascii="Times New Roman" w:hAnsi="Times New Roman" w:cs="Times New Roman"/>
          <w:lang w:val="ro-RO"/>
        </w:rPr>
      </w:pPr>
      <w:r w:rsidRPr="00F060D6">
        <w:rPr>
          <w:rFonts w:ascii="Times New Roman" w:hAnsi="Times New Roman" w:cs="Times New Roman"/>
          <w:lang w:val="ro-RO"/>
        </w:rPr>
        <w:t xml:space="preserve">Secretar al consiliului </w:t>
      </w:r>
      <w:proofErr w:type="spellStart"/>
      <w:r>
        <w:rPr>
          <w:rFonts w:ascii="Times New Roman" w:hAnsi="Times New Roman" w:cs="Times New Roman"/>
          <w:lang w:val="en-US"/>
        </w:rPr>
        <w:t>Costaș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Nadejda</w:t>
      </w:r>
      <w:proofErr w:type="spellEnd"/>
      <w:r w:rsidRPr="00F060D6">
        <w:rPr>
          <w:rFonts w:ascii="Times New Roman" w:hAnsi="Times New Roman" w:cs="Times New Roman"/>
          <w:lang w:val="ro-RO"/>
        </w:rPr>
        <w:t xml:space="preserve">                                                    L.Ș</w:t>
      </w:r>
    </w:p>
    <w:p w:rsidR="003F25F3" w:rsidRPr="003F25F3" w:rsidRDefault="003F25F3">
      <w:pPr>
        <w:rPr>
          <w:lang w:val="ro-RO"/>
        </w:rPr>
      </w:pPr>
    </w:p>
    <w:sectPr w:rsidR="003F25F3" w:rsidRPr="003F25F3" w:rsidSect="00D7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F4"/>
    <w:multiLevelType w:val="hybridMultilevel"/>
    <w:tmpl w:val="E57E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0060"/>
    <w:multiLevelType w:val="hybridMultilevel"/>
    <w:tmpl w:val="5D74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354A1"/>
    <w:multiLevelType w:val="hybridMultilevel"/>
    <w:tmpl w:val="B91C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C5100"/>
    <w:multiLevelType w:val="hybridMultilevel"/>
    <w:tmpl w:val="3EA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43BCF"/>
    <w:multiLevelType w:val="hybridMultilevel"/>
    <w:tmpl w:val="48403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741CE"/>
    <w:multiLevelType w:val="hybridMultilevel"/>
    <w:tmpl w:val="A2B8E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977A8"/>
    <w:multiLevelType w:val="hybridMultilevel"/>
    <w:tmpl w:val="673A8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7670E"/>
    <w:multiLevelType w:val="multilevel"/>
    <w:tmpl w:val="A4721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3401EB5"/>
    <w:multiLevelType w:val="hybridMultilevel"/>
    <w:tmpl w:val="4C8E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731DC6"/>
    <w:multiLevelType w:val="hybridMultilevel"/>
    <w:tmpl w:val="D016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2C79F8"/>
    <w:multiLevelType w:val="hybridMultilevel"/>
    <w:tmpl w:val="47D8C110"/>
    <w:lvl w:ilvl="0" w:tplc="2BF48F20">
      <w:start w:val="2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EE7DE5"/>
    <w:multiLevelType w:val="hybridMultilevel"/>
    <w:tmpl w:val="FCF02158"/>
    <w:lvl w:ilvl="0" w:tplc="F4EEE1E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F11AB0"/>
    <w:multiLevelType w:val="hybridMultilevel"/>
    <w:tmpl w:val="A4803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07651"/>
    <w:multiLevelType w:val="hybridMultilevel"/>
    <w:tmpl w:val="77C894C8"/>
    <w:lvl w:ilvl="0" w:tplc="21AAFE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6290F"/>
    <w:multiLevelType w:val="hybridMultilevel"/>
    <w:tmpl w:val="B412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D7283C"/>
    <w:multiLevelType w:val="hybridMultilevel"/>
    <w:tmpl w:val="6512C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C1DB7"/>
    <w:multiLevelType w:val="hybridMultilevel"/>
    <w:tmpl w:val="2D6623E2"/>
    <w:lvl w:ilvl="0" w:tplc="50C4E9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5F3"/>
    <w:rsid w:val="003F25F3"/>
    <w:rsid w:val="00D7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F3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3F25F3"/>
    <w:pPr>
      <w:ind w:left="720"/>
      <w:contextualSpacing/>
    </w:pPr>
  </w:style>
  <w:style w:type="paragraph" w:customStyle="1" w:styleId="1">
    <w:name w:val="Абзац списка1"/>
    <w:basedOn w:val="Normal"/>
    <w:rsid w:val="003F25F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GrilTabel">
    <w:name w:val="Table Grid"/>
    <w:basedOn w:val="TabelNormal"/>
    <w:uiPriority w:val="59"/>
    <w:rsid w:val="003F25F3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1815</Words>
  <Characters>10530</Characters>
  <Application>Microsoft Office Word</Application>
  <DocSecurity>0</DocSecurity>
  <Lines>87</Lines>
  <Paragraphs>24</Paragraphs>
  <ScaleCrop>false</ScaleCrop>
  <Company>CtrlSoft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2021-12-07T08:17:00Z</dcterms:created>
  <dcterms:modified xsi:type="dcterms:W3CDTF">2021-12-07T08:19:00Z</dcterms:modified>
</cp:coreProperties>
</file>