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0" w:rsidRPr="00092A3E" w:rsidRDefault="00880720" w:rsidP="00880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92A3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1" name="Imagine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2A3E"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880720" w:rsidRPr="00092A3E" w:rsidRDefault="00880720" w:rsidP="0088072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92A3E"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880720" w:rsidRPr="00092A3E" w:rsidRDefault="00880720" w:rsidP="0088072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80720" w:rsidRDefault="00880720" w:rsidP="00880720">
      <w:pPr>
        <w:spacing w:after="0" w:line="240" w:lineRule="auto"/>
        <w:jc w:val="center"/>
        <w:rPr>
          <w:lang w:val="en-US"/>
        </w:rPr>
      </w:pPr>
      <w:r w:rsidRPr="001E7693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880720" w:rsidRPr="000A56C1" w:rsidRDefault="00880720" w:rsidP="00880720">
      <w:pPr>
        <w:spacing w:after="0"/>
        <w:jc w:val="center"/>
        <w:rPr>
          <w:lang w:val="en-US"/>
        </w:rPr>
      </w:pPr>
    </w:p>
    <w:p w:rsidR="00880720" w:rsidRDefault="00880720" w:rsidP="0088072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DECIZIE                </w:t>
      </w:r>
      <w:r w:rsidRPr="003C2033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</w:t>
      </w:r>
    </w:p>
    <w:p w:rsidR="00880720" w:rsidRDefault="00880720" w:rsidP="0088072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decembrie 2022                                                                                                               nr. 4/       </w:t>
      </w:r>
    </w:p>
    <w:p w:rsidR="00F060D6" w:rsidRDefault="00880720" w:rsidP="00880720">
      <w:pPr>
        <w:spacing w:after="0" w:line="240" w:lineRule="auto"/>
        <w:rPr>
          <w:rFonts w:ascii="Times New Roman" w:hAnsi="Times New Roman" w:cs="Times New Roman"/>
          <w:b/>
          <w:i/>
          <w:sz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lang w:val="ro-RO"/>
        </w:rPr>
        <w:t xml:space="preserve"> </w:t>
      </w:r>
      <w:r w:rsidR="00F060D6">
        <w:rPr>
          <w:rFonts w:ascii="Times New Roman" w:hAnsi="Times New Roman" w:cs="Times New Roman"/>
          <w:b/>
          <w:i/>
          <w:sz w:val="24"/>
          <w:lang w:val="ro-RO"/>
        </w:rPr>
        <w:t>„Cu privire la aprobarea bugetului primăriei</w:t>
      </w:r>
    </w:p>
    <w:p w:rsidR="00F060D6" w:rsidRDefault="006F5C15" w:rsidP="00F060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ro-RO"/>
        </w:rPr>
        <w:t xml:space="preserve"> pentru anul 2023</w:t>
      </w:r>
      <w:r w:rsidR="00F060D6">
        <w:rPr>
          <w:rFonts w:ascii="Times New Roman" w:hAnsi="Times New Roman" w:cs="Times New Roman"/>
          <w:b/>
          <w:i/>
          <w:sz w:val="24"/>
          <w:lang w:val="ro-RO"/>
        </w:rPr>
        <w:t xml:space="preserve">  în a doua lectură”</w:t>
      </w:r>
    </w:p>
    <w:p w:rsidR="00F060D6" w:rsidRDefault="00F060D6" w:rsidP="00F060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060D6" w:rsidRPr="00D1273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art.14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>), n</w:t>
      </w:r>
      <w:r w:rsidRPr="00D127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), art.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19,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nr.436-XVI din 28.12.2006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 20 al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nr.397-XV din 16.10.2003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locale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art.24, 25, 47, 55 ale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181 din 25.07.2014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47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48 ale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419-XVI din 22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2006 cu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datoria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garanţiile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recreditarea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de stat ,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anexa nr.2 a HG 1404 din 30.12.2004 privind reglementarea utilizării de către APL a autoturizmelor de serviciu,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 w:rsidRPr="00944C07">
        <w:rPr>
          <w:rFonts w:ascii="Times New Roman" w:hAnsi="Times New Roman" w:cs="Times New Roman"/>
          <w:sz w:val="24"/>
          <w:szCs w:val="24"/>
          <w:lang w:val="en-US"/>
        </w:rPr>
        <w:t>circulara</w:t>
      </w:r>
      <w:proofErr w:type="spellEnd"/>
      <w:r w:rsidR="00994CE6"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nr.06/2-07</w:t>
      </w:r>
      <w:r w:rsidR="00994CE6">
        <w:rPr>
          <w:rFonts w:ascii="Times New Roman" w:hAnsi="Times New Roman" w:cs="Times New Roman"/>
          <w:sz w:val="24"/>
          <w:szCs w:val="24"/>
          <w:lang w:val="en-US"/>
        </w:rPr>
        <w:t>-44</w:t>
      </w:r>
      <w:r w:rsidR="00994CE6"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994CE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994CE6"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994CE6"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APL a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CE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94CE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208 din 24.12.2015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clasificaţia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bugetară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prevedrile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Setului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209 din 24.12.2015,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Ciucur-Mingir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3EF5">
        <w:rPr>
          <w:rFonts w:ascii="Times New Roman" w:hAnsi="Times New Roman" w:cs="Times New Roman"/>
          <w:b/>
          <w:i/>
          <w:sz w:val="24"/>
          <w:szCs w:val="24"/>
          <w:lang w:val="en-US"/>
        </w:rPr>
        <w:t>DECIDE:</w:t>
      </w:r>
    </w:p>
    <w:p w:rsidR="00F060D6" w:rsidRPr="00D12736" w:rsidRDefault="00F060D6" w:rsidP="00F060D6">
      <w:pPr>
        <w:pStyle w:val="a3"/>
        <w:numPr>
          <w:ilvl w:val="0"/>
          <w:numId w:val="1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340173">
        <w:rPr>
          <w:rFonts w:ascii="Times New Roman" w:hAnsi="Times New Roman" w:cs="Times New Roman"/>
          <w:sz w:val="24"/>
          <w:szCs w:val="24"/>
          <w:lang w:val="ro-RO"/>
        </w:rPr>
        <w:t>în a doua</w:t>
      </w:r>
      <w:r w:rsidR="0047333F">
        <w:rPr>
          <w:rFonts w:ascii="Times New Roman" w:hAnsi="Times New Roman" w:cs="Times New Roman"/>
          <w:sz w:val="24"/>
          <w:szCs w:val="24"/>
          <w:lang w:val="ro-RO"/>
        </w:rPr>
        <w:t xml:space="preserve"> lectură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bugetul Prim</w:t>
      </w:r>
      <w:r w:rsidR="006F5C15">
        <w:rPr>
          <w:rFonts w:ascii="Times New Roman" w:hAnsi="Times New Roman" w:cs="Times New Roman"/>
          <w:sz w:val="24"/>
          <w:szCs w:val="24"/>
          <w:lang w:val="ro-RO"/>
        </w:rPr>
        <w:t>ăriei Ciucur-Mingir pe anul 2023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la venituri în sumă de </w:t>
      </w:r>
      <w:r w:rsidR="006F5C15">
        <w:rPr>
          <w:rFonts w:ascii="Times New Roman" w:hAnsi="Times New Roman" w:cs="Times New Roman"/>
          <w:sz w:val="24"/>
          <w:szCs w:val="24"/>
          <w:lang w:val="ro-RO"/>
        </w:rPr>
        <w:t>2869.2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mii lei, la cheltuieli în sumă de </w:t>
      </w:r>
      <w:r w:rsidR="006F5C15">
        <w:rPr>
          <w:rFonts w:ascii="Times New Roman" w:hAnsi="Times New Roman" w:cs="Times New Roman"/>
          <w:sz w:val="24"/>
          <w:szCs w:val="24"/>
          <w:lang w:val="ro-RO"/>
        </w:rPr>
        <w:t>2869.2</w:t>
      </w:r>
      <w:r w:rsidR="0047333F">
        <w:rPr>
          <w:rFonts w:ascii="Times New Roman" w:hAnsi="Times New Roman" w:cs="Times New Roman"/>
          <w:sz w:val="24"/>
          <w:szCs w:val="24"/>
          <w:lang w:val="ro-RO"/>
        </w:rPr>
        <w:t xml:space="preserve"> mii  lei, inclusiv: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Sinteza indicatorilor generali și sursele de finanțare ale bugetului local se prezintă în anexa nr. 1;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Componența veniturilor bugetului local se prezintă în anexa nr.2;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Resursele și cheltuielile bugetului local conform clasificației funcționale și pe programe se prezintă în anexa nr.3;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Se aprobă fondul de rezervă în sumă de </w:t>
      </w:r>
      <w:r>
        <w:rPr>
          <w:rFonts w:ascii="Times New Roman" w:hAnsi="Times New Roman" w:cs="Times New Roman"/>
          <w:sz w:val="24"/>
          <w:szCs w:val="24"/>
          <w:lang w:val="ro-RO"/>
        </w:rPr>
        <w:t>20,0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mii lei</w:t>
      </w:r>
      <w:r w:rsidR="003401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B4006">
        <w:rPr>
          <w:rFonts w:ascii="Times New Roman" w:hAnsi="Times New Roman" w:cs="Times New Roman"/>
          <w:sz w:val="24"/>
          <w:szCs w:val="24"/>
          <w:lang w:val="ro-RO"/>
        </w:rPr>
        <w:t xml:space="preserve"> care va fi utilizat în conformitate cu Regulamentul privind constituirea și utilizarea fondului de rezervă a consiliului local ( anexa nr.4)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Se aprobă efectivul-limită al statelor de pers</w:t>
      </w:r>
      <w:r w:rsidR="002B4006">
        <w:rPr>
          <w:rFonts w:ascii="Times New Roman" w:hAnsi="Times New Roman" w:cs="Times New Roman"/>
          <w:sz w:val="24"/>
          <w:szCs w:val="24"/>
          <w:lang w:val="ro-RO"/>
        </w:rPr>
        <w:t>onal din APL conform anexei nr.5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Nomenclatorul tarifelor pentru serviciile cu plată prestate d</w:t>
      </w:r>
      <w:r w:rsidR="002B4006">
        <w:rPr>
          <w:rFonts w:ascii="Times New Roman" w:hAnsi="Times New Roman" w:cs="Times New Roman"/>
          <w:sz w:val="24"/>
          <w:szCs w:val="24"/>
          <w:lang w:val="ro-RO"/>
        </w:rPr>
        <w:t>e APL se prezintă în anexa nr. 6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060D6" w:rsidRPr="00D12736" w:rsidRDefault="00F060D6" w:rsidP="00340173">
      <w:pPr>
        <w:pStyle w:val="a3"/>
        <w:numPr>
          <w:ilvl w:val="1"/>
          <w:numId w:val="17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Se aprobă parcursul limită al automobilului de serviciu de 20 mii km anual;</w:t>
      </w:r>
    </w:p>
    <w:p w:rsidR="00F060D6" w:rsidRPr="006F5C15" w:rsidRDefault="006F5C15" w:rsidP="006F5C15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6F5C15">
        <w:rPr>
          <w:rFonts w:ascii="Times New Roman" w:hAnsi="Times New Roman" w:cs="Times New Roman"/>
          <w:sz w:val="24"/>
          <w:szCs w:val="24"/>
          <w:lang w:val="ro-RO"/>
        </w:rPr>
        <w:t xml:space="preserve">2.   </w:t>
      </w:r>
      <w:r w:rsidR="00F060D6" w:rsidRPr="006F5C15">
        <w:rPr>
          <w:rFonts w:ascii="Times New Roman" w:hAnsi="Times New Roman" w:cs="Times New Roman"/>
          <w:sz w:val="24"/>
          <w:szCs w:val="24"/>
          <w:lang w:val="ro-RO"/>
        </w:rPr>
        <w:t>Se autorizează:</w:t>
      </w:r>
    </w:p>
    <w:p w:rsidR="00F060D6" w:rsidRPr="00D12736" w:rsidRDefault="00F060D6" w:rsidP="00F060D6">
      <w:pPr>
        <w:tabs>
          <w:tab w:val="left" w:pos="378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Dl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Ciobanu Tudor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, primarul satului Ciucur-Mingir cu rolul de administrator de buget:</w:t>
      </w:r>
    </w:p>
    <w:p w:rsidR="00F060D6" w:rsidRPr="00D12736" w:rsidRDefault="00F060D6" w:rsidP="00F060D6">
      <w:pPr>
        <w:pStyle w:val="a3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Să modifice planurile de alocații între diferite nivele de clasificație economică în cadrul aceleași funcții, în cadrul unui subprogram, fără majorarea cheltuielilor de personal;</w:t>
      </w:r>
    </w:p>
    <w:p w:rsidR="00F060D6" w:rsidRPr="00D12736" w:rsidRDefault="00F060D6" w:rsidP="00F060D6">
      <w:pPr>
        <w:pStyle w:val="a3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Să includă în programele respective de cheltuieli, în baza dispoziției, alocațiile repartizate prin decizia autorității reprezentative și deliberative din fo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dul de rezervă, 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lastRenderedPageBreak/>
        <w:t>precum și transferurile cu destinație specială de la bugetul de stat la bugetele locale, repartizate prin alte acte normative, decît legea bugetului de stat;</w:t>
      </w:r>
    </w:p>
    <w:p w:rsidR="00F060D6" w:rsidRPr="00D12736" w:rsidRDefault="00F060D6" w:rsidP="00F060D6">
      <w:pPr>
        <w:pStyle w:val="a3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Autoritățile bug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etare (Org 1) să modifice planurile de alocații între instituțiile subordonate între nivele k4, în cadrul aceleiași funcții (F1-F2) și aceluiași subprogram P1P2 cu respectarea limitei stabilite la nivelul k2. Totodată, autoritățile bugetare pot modifica resursele colectate între instituțiile din cadrul aceleiași funcții (F1-F2), fără modificarea limite aprobate;</w:t>
      </w:r>
    </w:p>
    <w:p w:rsidR="00F060D6" w:rsidRPr="00D12736" w:rsidRDefault="00F060D6" w:rsidP="00F060D6">
      <w:pPr>
        <w:pStyle w:val="a3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Instituțiile bugetare să modifice planurile de alocații între nivele k5-k6, cu respectarea limitei stabilite la nivel k4 al clasificației economice de către instituția superioară.</w:t>
      </w:r>
    </w:p>
    <w:p w:rsidR="00F060D6" w:rsidRPr="006F5C15" w:rsidRDefault="006F5C15" w:rsidP="006F5C15">
      <w:pPr>
        <w:pStyle w:val="a3"/>
        <w:numPr>
          <w:ilvl w:val="0"/>
          <w:numId w:val="18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D-na</w:t>
      </w:r>
      <w:r w:rsidR="00F060D6" w:rsidRPr="006F5C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Costaș Nadejda</w:t>
      </w:r>
      <w:r w:rsidR="00F060D6" w:rsidRPr="006F5C15">
        <w:rPr>
          <w:rFonts w:ascii="Times New Roman" w:hAnsi="Times New Roman" w:cs="Times New Roman"/>
          <w:sz w:val="24"/>
          <w:szCs w:val="24"/>
          <w:lang w:val="ro-RO"/>
        </w:rPr>
        <w:t>, secretarul consiliului local, va asigura aducerea la cunoștință publică, prin publicarea sau afișarea în locuri publice, a prezentei decizii și anexele acesteia în termen de maxim 5 zile de la semnarea deciziei.</w:t>
      </w:r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Proiect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iniţiat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primar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               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proofErr w:type="gramStart"/>
      <w:r>
        <w:rPr>
          <w:rFonts w:ascii="Times New Roman" w:hAnsi="Times New Roman"/>
          <w:lang w:val="en-US"/>
        </w:rPr>
        <w:t xml:space="preserve">Tudor  </w:t>
      </w:r>
      <w:proofErr w:type="spellStart"/>
      <w:r>
        <w:rPr>
          <w:rFonts w:ascii="Times New Roman" w:hAnsi="Times New Roman"/>
          <w:lang w:val="en-US"/>
        </w:rPr>
        <w:t>Ciobanu</w:t>
      </w:r>
      <w:proofErr w:type="spellEnd"/>
      <w:proofErr w:type="gramEnd"/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</w:t>
      </w:r>
      <w:proofErr w:type="spellStart"/>
      <w:r>
        <w:rPr>
          <w:rFonts w:ascii="Times New Roman" w:hAnsi="Times New Roman"/>
          <w:lang w:val="en-US"/>
        </w:rPr>
        <w:t>Avizat</w:t>
      </w:r>
      <w:proofErr w:type="spellEnd"/>
      <w:r>
        <w:rPr>
          <w:rFonts w:ascii="Times New Roman" w:hAnsi="Times New Roman"/>
          <w:lang w:val="en-US"/>
        </w:rPr>
        <w:t>:</w:t>
      </w:r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Secretar</w:t>
      </w:r>
      <w:proofErr w:type="spellEnd"/>
      <w:r>
        <w:rPr>
          <w:rFonts w:ascii="Times New Roman" w:hAnsi="Times New Roman"/>
          <w:lang w:val="en-US"/>
        </w:rPr>
        <w:t xml:space="preserve">   al </w:t>
      </w:r>
      <w:proofErr w:type="spellStart"/>
      <w:r>
        <w:rPr>
          <w:rFonts w:ascii="Times New Roman" w:hAnsi="Times New Roman"/>
          <w:lang w:val="en-US"/>
        </w:rPr>
        <w:t>consiliului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                        </w:t>
      </w:r>
      <w:r>
        <w:rPr>
          <w:rFonts w:ascii="Times New Roman" w:hAnsi="Times New Roman"/>
          <w:lang w:val="en-US"/>
        </w:rPr>
        <w:tab/>
      </w:r>
      <w:proofErr w:type="spellStart"/>
      <w:proofErr w:type="gramStart"/>
      <w:r>
        <w:rPr>
          <w:rFonts w:ascii="Times New Roman" w:hAnsi="Times New Roman"/>
          <w:lang w:val="en-US"/>
        </w:rPr>
        <w:t>Nadejda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Costa</w:t>
      </w:r>
      <w:proofErr w:type="gramEnd"/>
      <w:r>
        <w:rPr>
          <w:rFonts w:ascii="Times New Roman" w:hAnsi="Times New Roman"/>
          <w:lang w:val="en-US"/>
        </w:rPr>
        <w:t>ș</w:t>
      </w:r>
      <w:proofErr w:type="spellEnd"/>
    </w:p>
    <w:p w:rsidR="00880720" w:rsidRDefault="00880720" w:rsidP="0088072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          </w:t>
      </w:r>
    </w:p>
    <w:p w:rsidR="00F060D6" w:rsidRPr="00880720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0D6" w:rsidRDefault="00F060D6" w:rsidP="00F060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40173" w:rsidRDefault="00340173" w:rsidP="0034017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Anexa1</w:t>
      </w:r>
    </w:p>
    <w:p w:rsidR="00340173" w:rsidRDefault="00340173" w:rsidP="00340173">
      <w:pPr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Sinteza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indicatorilor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generali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sursele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lang w:val="en-US"/>
        </w:rPr>
        <w:t>finantare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local</w:t>
      </w:r>
    </w:p>
    <w:p w:rsidR="00F060D6" w:rsidRDefault="00F060D6" w:rsidP="00340173">
      <w:pPr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a4"/>
        <w:tblpPr w:leftFromText="180" w:rightFromText="180" w:vertAnchor="page" w:horzAnchor="margin" w:tblpY="2161"/>
        <w:tblW w:w="0" w:type="auto"/>
        <w:tblLook w:val="04A0"/>
      </w:tblPr>
      <w:tblGrid>
        <w:gridCol w:w="6203"/>
        <w:gridCol w:w="1842"/>
        <w:gridCol w:w="1525"/>
      </w:tblGrid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 . VENITURI 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6F5C15" w:rsidP="00AD0E6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2869,2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Inclusiv transferuri de la bugetul de stat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6F5C15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1675,2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II.  CHELTUIELI,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2+3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6F5C15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2869,2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II.1. 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6F5C15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2202,3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II.2. Active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nefinanciare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6F5C15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666,9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III. SOLD BUGETAR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1-(2+3)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IV. SURSELE DE FINANȚARE,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4+5+9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soldului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mijloace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bănești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F060D6" w:rsidRDefault="00F060D6" w:rsidP="00F060D6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8F0D6F">
        <w:rPr>
          <w:rFonts w:ascii="Times New Roman" w:hAnsi="Times New Roman" w:cs="Times New Roman"/>
          <w:lang w:val="en-US"/>
        </w:rPr>
        <w:t>Costaș</w:t>
      </w:r>
      <w:proofErr w:type="spellEnd"/>
      <w:r w:rsidR="008F0D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0D6F">
        <w:rPr>
          <w:rFonts w:ascii="Times New Roman" w:hAnsi="Times New Roman" w:cs="Times New Roman"/>
          <w:lang w:val="en-US"/>
        </w:rPr>
        <w:t>Nadejda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L.Ș.                   </w:t>
      </w:r>
    </w:p>
    <w:p w:rsidR="00F060D6" w:rsidRPr="00F060D6" w:rsidRDefault="00F060D6" w:rsidP="00F060D6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Anexa2 </w:t>
      </w:r>
    </w:p>
    <w:p w:rsidR="00F060D6" w:rsidRPr="00F060D6" w:rsidRDefault="00F060D6" w:rsidP="00F060D6">
      <w:pPr>
        <w:rPr>
          <w:rFonts w:ascii="Times New Roman" w:hAnsi="Times New Roman" w:cs="Times New Roman"/>
          <w:b/>
          <w:lang w:val="ro-RO"/>
        </w:rPr>
      </w:pPr>
      <w:r w:rsidRPr="00F060D6">
        <w:rPr>
          <w:rFonts w:ascii="Times New Roman" w:hAnsi="Times New Roman" w:cs="Times New Roman"/>
          <w:b/>
          <w:lang w:val="ro-RO"/>
        </w:rPr>
        <w:t>Componența veniturilor bugetului</w:t>
      </w:r>
    </w:p>
    <w:tbl>
      <w:tblPr>
        <w:tblStyle w:val="a4"/>
        <w:tblW w:w="0" w:type="auto"/>
        <w:tblLook w:val="04A0"/>
      </w:tblPr>
      <w:tblGrid>
        <w:gridCol w:w="817"/>
        <w:gridCol w:w="5387"/>
        <w:gridCol w:w="1842"/>
        <w:gridCol w:w="1418"/>
      </w:tblGrid>
      <w:tr w:rsidR="00F060D6" w:rsidRPr="00F060D6" w:rsidTr="00AD0E63">
        <w:tc>
          <w:tcPr>
            <w:tcW w:w="81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Nr. d/o</w:t>
            </w: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 xml:space="preserve">Denumirea 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Cod Eco (k6)</w:t>
            </w:r>
          </w:p>
        </w:tc>
        <w:tc>
          <w:tcPr>
            <w:tcW w:w="1418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Suma,</w:t>
            </w:r>
          </w:p>
          <w:p w:rsidR="00F060D6" w:rsidRPr="00F060D6" w:rsidRDefault="00F060D6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mii lei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venit a persoanelor fizice reținut din salariu.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111110</w:t>
            </w:r>
          </w:p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111121</w:t>
            </w:r>
          </w:p>
        </w:tc>
        <w:tc>
          <w:tcPr>
            <w:tcW w:w="1418" w:type="dxa"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238,3</w:t>
            </w:r>
          </w:p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131,7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38270B" w:rsidRDefault="003E7EEA" w:rsidP="00AD0E63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38270B"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funciar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al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juridice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și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înregistrate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calitate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întreprinzător</w:t>
            </w:r>
            <w:proofErr w:type="spellEnd"/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</w:t>
            </w:r>
            <w:r w:rsidR="003E7EEA">
              <w:rPr>
                <w:rFonts w:ascii="Times New Roman" w:hAnsi="Times New Roman" w:cs="Times New Roman"/>
                <w:lang w:val="ro-RO"/>
              </w:rPr>
              <w:t>161</w:t>
            </w:r>
          </w:p>
        </w:tc>
        <w:tc>
          <w:tcPr>
            <w:tcW w:w="1418" w:type="dxa"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290,0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38270B" w:rsidRDefault="003E7EEA" w:rsidP="00AD0E63">
            <w:pPr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funciar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al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fizice-cetățeni</w:t>
            </w:r>
            <w:proofErr w:type="spellEnd"/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1131</w:t>
            </w:r>
            <w:r w:rsidR="003E7EEA">
              <w:rPr>
                <w:rFonts w:ascii="Times New Roman" w:hAnsi="Times New Roman" w:cs="Times New Roman"/>
                <w:lang w:val="ro-RO"/>
              </w:rPr>
              <w:t>71</w:t>
            </w:r>
          </w:p>
        </w:tc>
        <w:tc>
          <w:tcPr>
            <w:tcW w:w="1418" w:type="dxa"/>
          </w:tcPr>
          <w:p w:rsidR="00F060D6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130E73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bunurile imobiliare ale persoanelor juridice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113210</w:t>
            </w:r>
          </w:p>
        </w:tc>
        <w:tc>
          <w:tcPr>
            <w:tcW w:w="1418" w:type="dxa"/>
          </w:tcPr>
          <w:p w:rsidR="00F060D6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bunurile imobiliare ale persoanelor fizice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113220</w:t>
            </w:r>
          </w:p>
        </w:tc>
        <w:tc>
          <w:tcPr>
            <w:tcW w:w="1418" w:type="dxa"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F060D6" w:rsidRPr="00F060D6">
              <w:rPr>
                <w:rFonts w:ascii="Times New Roman" w:hAnsi="Times New Roman" w:cs="Times New Roman"/>
                <w:lang w:val="ro-RO"/>
              </w:rPr>
              <w:t>,2</w:t>
            </w:r>
          </w:p>
        </w:tc>
      </w:tr>
      <w:tr w:rsidR="0038270B" w:rsidRPr="0038270B" w:rsidTr="0038270B">
        <w:trPr>
          <w:trHeight w:val="1045"/>
        </w:trPr>
        <w:tc>
          <w:tcPr>
            <w:tcW w:w="817" w:type="dxa"/>
          </w:tcPr>
          <w:p w:rsidR="0038270B" w:rsidRPr="00F060D6" w:rsidRDefault="0038270B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8270B" w:rsidRPr="0038270B" w:rsidRDefault="0038270B" w:rsidP="00AD0E63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38270B"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imobiliare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achitat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către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juridice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și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înregistrate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calitate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întreprinzător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din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valoarea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estimată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(de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piață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) a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imobliare</w:t>
            </w:r>
            <w:proofErr w:type="spellEnd"/>
          </w:p>
        </w:tc>
        <w:tc>
          <w:tcPr>
            <w:tcW w:w="1842" w:type="dxa"/>
          </w:tcPr>
          <w:p w:rsidR="0038270B" w:rsidRPr="0038270B" w:rsidRDefault="0038270B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113230</w:t>
            </w:r>
          </w:p>
        </w:tc>
        <w:tc>
          <w:tcPr>
            <w:tcW w:w="1418" w:type="dxa"/>
          </w:tcPr>
          <w:p w:rsidR="0038270B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0,8</w:t>
            </w:r>
          </w:p>
        </w:tc>
      </w:tr>
      <w:tr w:rsidR="0038270B" w:rsidRPr="0038270B" w:rsidTr="0038270B">
        <w:trPr>
          <w:trHeight w:val="846"/>
        </w:trPr>
        <w:tc>
          <w:tcPr>
            <w:tcW w:w="817" w:type="dxa"/>
          </w:tcPr>
          <w:p w:rsidR="0038270B" w:rsidRPr="00F060D6" w:rsidRDefault="0038270B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8270B" w:rsidRPr="0038270B" w:rsidRDefault="0038270B" w:rsidP="00AD0E63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imobiliare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, 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achitat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către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fizice-cetăţeni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din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valoarea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estimată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(de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piaţă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) a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bunurilor</w:t>
            </w:r>
            <w:proofErr w:type="spellEnd"/>
          </w:p>
        </w:tc>
        <w:tc>
          <w:tcPr>
            <w:tcW w:w="1842" w:type="dxa"/>
          </w:tcPr>
          <w:p w:rsidR="0038270B" w:rsidRDefault="0038270B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113240</w:t>
            </w:r>
          </w:p>
        </w:tc>
        <w:tc>
          <w:tcPr>
            <w:tcW w:w="1418" w:type="dxa"/>
          </w:tcPr>
          <w:p w:rsidR="0038270B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0,6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 pentru amenajarea teritoriului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114412</w:t>
            </w:r>
          </w:p>
        </w:tc>
        <w:tc>
          <w:tcPr>
            <w:tcW w:w="1418" w:type="dxa"/>
          </w:tcPr>
          <w:p w:rsidR="00F060D6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F060D6" w:rsidRPr="00F060D6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 pentru unitățile comerciale și/sai de prestări servicii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114418</w:t>
            </w:r>
          </w:p>
        </w:tc>
        <w:tc>
          <w:tcPr>
            <w:tcW w:w="1418" w:type="dxa"/>
          </w:tcPr>
          <w:p w:rsidR="00F060D6" w:rsidRPr="00F060D6" w:rsidRDefault="0038270B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F060D6" w:rsidRPr="00F060D6">
              <w:rPr>
                <w:rFonts w:ascii="Times New Roman" w:hAnsi="Times New Roman" w:cs="Times New Roman"/>
                <w:lang w:val="ro-RO"/>
              </w:rPr>
              <w:t>6,0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Plata pentru arenda terenurilor cu destinație agricolă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141522</w:t>
            </w:r>
          </w:p>
        </w:tc>
        <w:tc>
          <w:tcPr>
            <w:tcW w:w="1418" w:type="dxa"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  <w:r w:rsidR="0089580E">
              <w:rPr>
                <w:rFonts w:ascii="Times New Roman" w:hAnsi="Times New Roman" w:cs="Times New Roman"/>
                <w:lang w:val="ro-RO"/>
              </w:rPr>
              <w:t>0</w:t>
            </w:r>
            <w:r w:rsidR="0038270B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F060D6" w:rsidRPr="00F060D6" w:rsidTr="00AD0E63">
        <w:tc>
          <w:tcPr>
            <w:tcW w:w="817" w:type="dxa"/>
          </w:tcPr>
          <w:p w:rsidR="00F060D6" w:rsidRPr="00F060D6" w:rsidRDefault="00F060D6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 de organizare a licitațiilor și loteriilor pe teritoriul unitatii administrativ teritoriale</w:t>
            </w:r>
          </w:p>
        </w:tc>
        <w:tc>
          <w:tcPr>
            <w:tcW w:w="1842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142211</w:t>
            </w:r>
          </w:p>
        </w:tc>
        <w:tc>
          <w:tcPr>
            <w:tcW w:w="1418" w:type="dxa"/>
          </w:tcPr>
          <w:p w:rsidR="00F060D6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F060D6" w:rsidRPr="00F060D6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89580E" w:rsidRPr="0089580E" w:rsidTr="00AD0E63">
        <w:tc>
          <w:tcPr>
            <w:tcW w:w="817" w:type="dxa"/>
          </w:tcPr>
          <w:p w:rsidR="0089580E" w:rsidRPr="00F060D6" w:rsidRDefault="0089580E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AD0E6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Plata pentru certificate de urbanizm și autorizație de construcții</w:t>
            </w:r>
          </w:p>
        </w:tc>
        <w:tc>
          <w:tcPr>
            <w:tcW w:w="1842" w:type="dxa"/>
          </w:tcPr>
          <w:p w:rsidR="0089580E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142215</w:t>
            </w:r>
          </w:p>
        </w:tc>
        <w:tc>
          <w:tcPr>
            <w:tcW w:w="1418" w:type="dxa"/>
          </w:tcPr>
          <w:p w:rsidR="0089580E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0,4</w:t>
            </w:r>
          </w:p>
        </w:tc>
      </w:tr>
      <w:tr w:rsidR="0089580E" w:rsidRPr="0089580E" w:rsidTr="00AD0E63">
        <w:tc>
          <w:tcPr>
            <w:tcW w:w="817" w:type="dxa"/>
          </w:tcPr>
          <w:p w:rsidR="0089580E" w:rsidRPr="00F060D6" w:rsidRDefault="0089580E" w:rsidP="00B60E3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B60E38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Incasari de la prestarea serviciilor cu plata</w:t>
            </w:r>
          </w:p>
        </w:tc>
        <w:tc>
          <w:tcPr>
            <w:tcW w:w="1842" w:type="dxa"/>
          </w:tcPr>
          <w:p w:rsidR="0089580E" w:rsidRPr="00F060D6" w:rsidRDefault="0089580E" w:rsidP="00B60E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142310</w:t>
            </w:r>
          </w:p>
        </w:tc>
        <w:tc>
          <w:tcPr>
            <w:tcW w:w="1418" w:type="dxa"/>
          </w:tcPr>
          <w:p w:rsidR="0089580E" w:rsidRPr="00F060D6" w:rsidRDefault="0089580E" w:rsidP="00B60E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250,0</w:t>
            </w:r>
          </w:p>
        </w:tc>
      </w:tr>
      <w:tr w:rsidR="0089580E" w:rsidRPr="00F060D6" w:rsidTr="00AD0E63">
        <w:tc>
          <w:tcPr>
            <w:tcW w:w="817" w:type="dxa"/>
          </w:tcPr>
          <w:p w:rsidR="0089580E" w:rsidRPr="00F060D6" w:rsidRDefault="0089580E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Alte venituri încasate în bugetul local de nivelul I</w:t>
            </w:r>
          </w:p>
        </w:tc>
        <w:tc>
          <w:tcPr>
            <w:tcW w:w="1842" w:type="dxa"/>
          </w:tcPr>
          <w:p w:rsidR="0089580E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145142</w:t>
            </w:r>
          </w:p>
        </w:tc>
        <w:tc>
          <w:tcPr>
            <w:tcW w:w="1418" w:type="dxa"/>
          </w:tcPr>
          <w:p w:rsidR="0089580E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</w:t>
            </w:r>
            <w:r w:rsidR="0089580E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89580E" w:rsidRPr="00F060D6" w:rsidTr="00AD0E63">
        <w:tc>
          <w:tcPr>
            <w:tcW w:w="817" w:type="dxa"/>
          </w:tcPr>
          <w:p w:rsidR="0089580E" w:rsidRPr="00F060D6" w:rsidRDefault="0089580E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B60E38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 xml:space="preserve">Transferuri cu destinaţie specială pentru infrastructura </w:t>
            </w:r>
            <w:r w:rsidRPr="00F060D6">
              <w:rPr>
                <w:rFonts w:ascii="Times New Roman" w:hAnsi="Times New Roman" w:cs="Times New Roman"/>
                <w:lang w:val="ro-RO"/>
              </w:rPr>
              <w:lastRenderedPageBreak/>
              <w:t>drumului</w:t>
            </w:r>
          </w:p>
        </w:tc>
        <w:tc>
          <w:tcPr>
            <w:tcW w:w="1842" w:type="dxa"/>
          </w:tcPr>
          <w:p w:rsidR="0089580E" w:rsidRPr="00F060D6" w:rsidRDefault="0089580E" w:rsidP="00B60E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lastRenderedPageBreak/>
              <w:t>191216</w:t>
            </w:r>
          </w:p>
        </w:tc>
        <w:tc>
          <w:tcPr>
            <w:tcW w:w="1418" w:type="dxa"/>
          </w:tcPr>
          <w:p w:rsidR="0089580E" w:rsidRPr="00F060D6" w:rsidRDefault="00130E73" w:rsidP="00B60E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437</w:t>
            </w:r>
            <w:r w:rsidR="0089580E">
              <w:rPr>
                <w:rFonts w:ascii="Times New Roman" w:hAnsi="Times New Roman" w:cs="Times New Roman"/>
                <w:lang w:val="ro-RO"/>
              </w:rPr>
              <w:t>,1</w:t>
            </w:r>
          </w:p>
        </w:tc>
      </w:tr>
      <w:tr w:rsidR="0089580E" w:rsidRPr="00F060D6" w:rsidTr="00AD0E63">
        <w:tc>
          <w:tcPr>
            <w:tcW w:w="817" w:type="dxa"/>
          </w:tcPr>
          <w:p w:rsidR="0089580E" w:rsidRPr="00F060D6" w:rsidRDefault="0089580E" w:rsidP="00F060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AD0E63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Transferuri curente primite cu destinatie generala intre bugetul de stat si bugetele locale de nivelul I</w:t>
            </w:r>
          </w:p>
        </w:tc>
        <w:tc>
          <w:tcPr>
            <w:tcW w:w="1842" w:type="dxa"/>
          </w:tcPr>
          <w:p w:rsidR="0089580E" w:rsidRPr="00F060D6" w:rsidRDefault="0089580E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191231</w:t>
            </w:r>
          </w:p>
        </w:tc>
        <w:tc>
          <w:tcPr>
            <w:tcW w:w="1418" w:type="dxa"/>
          </w:tcPr>
          <w:p w:rsidR="0089580E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1238,1</w:t>
            </w:r>
          </w:p>
        </w:tc>
      </w:tr>
      <w:tr w:rsidR="0089580E" w:rsidRPr="00F060D6" w:rsidTr="00AD0E63">
        <w:tc>
          <w:tcPr>
            <w:tcW w:w="817" w:type="dxa"/>
          </w:tcPr>
          <w:p w:rsidR="0089580E" w:rsidRPr="00F060D6" w:rsidRDefault="0089580E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89580E" w:rsidRPr="00F060D6" w:rsidRDefault="0089580E" w:rsidP="00AD0E6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 xml:space="preserve">Total: </w:t>
            </w:r>
          </w:p>
        </w:tc>
        <w:tc>
          <w:tcPr>
            <w:tcW w:w="1842" w:type="dxa"/>
          </w:tcPr>
          <w:p w:rsidR="0089580E" w:rsidRPr="00F060D6" w:rsidRDefault="0089580E" w:rsidP="00AD0E6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89580E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2869,2</w:t>
            </w:r>
          </w:p>
        </w:tc>
      </w:tr>
    </w:tbl>
    <w:p w:rsidR="0047333F" w:rsidRPr="00D43EF3" w:rsidRDefault="00F060D6" w:rsidP="00D43EF3">
      <w:pPr>
        <w:rPr>
          <w:rFonts w:ascii="Times New Roman" w:hAnsi="Times New Roman" w:cs="Times New Roman"/>
          <w:lang w:val="en-US"/>
        </w:rPr>
      </w:pPr>
      <w:proofErr w:type="spellStart"/>
      <w:r w:rsidRPr="00F060D6">
        <w:rPr>
          <w:rFonts w:ascii="Times New Roman" w:hAnsi="Times New Roman" w:cs="Times New Roman"/>
          <w:lang w:val="en-US"/>
        </w:rPr>
        <w:t>Secretarul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lang w:val="en-US"/>
        </w:rPr>
        <w:t>consiliului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BA5F34">
        <w:rPr>
          <w:rFonts w:ascii="Times New Roman" w:hAnsi="Times New Roman" w:cs="Times New Roman"/>
          <w:lang w:val="en-US"/>
        </w:rPr>
        <w:t>Costaș</w:t>
      </w:r>
      <w:proofErr w:type="spellEnd"/>
      <w:r w:rsidR="00BA5F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F34"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                                                  L.Ș.</w:t>
      </w:r>
    </w:p>
    <w:p w:rsidR="00340173" w:rsidRDefault="00340173" w:rsidP="00F060D6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130E73" w:rsidRDefault="00130E73" w:rsidP="00F060D6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F060D6" w:rsidRPr="00F060D6" w:rsidRDefault="00F060D6" w:rsidP="00F060D6">
      <w:pPr>
        <w:jc w:val="right"/>
        <w:rPr>
          <w:rFonts w:ascii="Times New Roman" w:hAnsi="Times New Roman" w:cs="Times New Roman"/>
          <w:lang w:val="en-US"/>
        </w:rPr>
      </w:pPr>
      <w:r w:rsidRPr="00F060D6">
        <w:rPr>
          <w:rFonts w:ascii="Times New Roman" w:hAnsi="Times New Roman" w:cs="Times New Roman"/>
          <w:b/>
          <w:u w:val="single"/>
          <w:lang w:val="en-US"/>
        </w:rPr>
        <w:t xml:space="preserve"> Anexa3</w:t>
      </w:r>
      <w:r w:rsidRPr="00F060D6">
        <w:rPr>
          <w:rFonts w:ascii="Times New Roman" w:hAnsi="Times New Roman" w:cs="Times New Roman"/>
          <w:lang w:val="en-US"/>
        </w:rPr>
        <w:t xml:space="preserve"> </w:t>
      </w:r>
    </w:p>
    <w:p w:rsidR="00F060D6" w:rsidRPr="00F060D6" w:rsidRDefault="00F060D6" w:rsidP="00F060D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F060D6">
        <w:rPr>
          <w:rFonts w:ascii="Times New Roman" w:hAnsi="Times New Roman" w:cs="Times New Roman"/>
          <w:b/>
          <w:lang w:val="en-US"/>
        </w:rPr>
        <w:t>Resursele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cheltuielile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local conform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clasificației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funcționale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programe</w:t>
      </w:r>
      <w:proofErr w:type="spellEnd"/>
    </w:p>
    <w:tbl>
      <w:tblPr>
        <w:tblStyle w:val="a4"/>
        <w:tblW w:w="0" w:type="auto"/>
        <w:tblLook w:val="04A0"/>
      </w:tblPr>
      <w:tblGrid>
        <w:gridCol w:w="6203"/>
        <w:gridCol w:w="1842"/>
        <w:gridCol w:w="1525"/>
      </w:tblGrid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Denumirea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Suma,mii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F060D6" w:rsidRPr="00F060D6" w:rsidTr="00AD0E63">
        <w:trPr>
          <w:trHeight w:val="190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2+3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2869,2</w:t>
            </w:r>
          </w:p>
        </w:tc>
      </w:tr>
      <w:tr w:rsidR="00F060D6" w:rsidRPr="00F060D6" w:rsidTr="00AD0E63">
        <w:trPr>
          <w:trHeight w:val="312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Cheltuielile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2202,3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Dintre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care: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personal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1535,3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Aparatul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primarului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0301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1332,5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1215,5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Gestionarea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fondurilor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rezervă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intervenție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0802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20,0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Dezvoltarea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gospodăriei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locuințe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serviciilor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comunale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7502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88,9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70,9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Aprovizionarea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canalizare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7503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367,7</w:t>
            </w:r>
          </w:p>
        </w:tc>
      </w:tr>
      <w:tr w:rsidR="00F060D6" w:rsidRPr="00F060D6" w:rsidTr="00AD0E63">
        <w:trPr>
          <w:trHeight w:val="140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Resurse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atrase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instituții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S3S4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297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315,7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Servicii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bibliotecă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98,6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88,3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Activitatea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caselor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cultură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430,4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402,9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27,5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Activități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culturale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F060D6"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Sport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8602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D362A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060D6" w:rsidRPr="00F060D6">
              <w:rPr>
                <w:rFonts w:ascii="Times New Roman" w:hAnsi="Times New Roman" w:cs="Times New Roman"/>
                <w:b/>
                <w:lang w:val="en-US"/>
              </w:rPr>
              <w:t>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D362A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F060D6"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Iluminarea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stradală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P1P2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7505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73,0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060D6"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Transpart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rutier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P1P2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6402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437</w:t>
            </w:r>
            <w:r w:rsidR="00FE117E">
              <w:rPr>
                <w:rFonts w:ascii="Times New Roman" w:hAnsi="Times New Roman" w:cs="Times New Roman"/>
                <w:b/>
                <w:lang w:val="en-US"/>
              </w:rPr>
              <w:t>,1</w:t>
            </w: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Alocații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caracter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general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S3S4 </w:t>
            </w:r>
            <w:r w:rsidRPr="00F060D6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60D6" w:rsidRPr="00F060D6" w:rsidTr="00AD0E63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lastRenderedPageBreak/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0D6" w:rsidRPr="00F060D6" w:rsidRDefault="00130E73" w:rsidP="00AD0E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437,1</w:t>
            </w:r>
          </w:p>
        </w:tc>
      </w:tr>
    </w:tbl>
    <w:p w:rsidR="00F060D6" w:rsidRPr="00F060D6" w:rsidRDefault="00F060D6" w:rsidP="00F060D6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F060D6" w:rsidRPr="00F060D6" w:rsidRDefault="00F060D6" w:rsidP="00F060D6">
      <w:pPr>
        <w:rPr>
          <w:rFonts w:ascii="Times New Roman" w:hAnsi="Times New Roman" w:cs="Times New Roman"/>
          <w:b/>
          <w:u w:val="single"/>
          <w:lang w:val="en-US"/>
        </w:rPr>
      </w:pPr>
    </w:p>
    <w:p w:rsidR="00F060D6" w:rsidRPr="00D43EF3" w:rsidRDefault="00F060D6" w:rsidP="00D43EF3">
      <w:pPr>
        <w:rPr>
          <w:rFonts w:ascii="Times New Roman" w:hAnsi="Times New Roman" w:cs="Times New Roman"/>
          <w:lang w:val="en-US"/>
        </w:rPr>
      </w:pPr>
      <w:proofErr w:type="spellStart"/>
      <w:r w:rsidRPr="00F060D6">
        <w:rPr>
          <w:rFonts w:ascii="Times New Roman" w:hAnsi="Times New Roman" w:cs="Times New Roman"/>
          <w:lang w:val="en-US"/>
        </w:rPr>
        <w:t>Se</w:t>
      </w:r>
      <w:r w:rsidR="00FE117E">
        <w:rPr>
          <w:rFonts w:ascii="Times New Roman" w:hAnsi="Times New Roman" w:cs="Times New Roman"/>
          <w:lang w:val="en-US"/>
        </w:rPr>
        <w:t>cretarul</w:t>
      </w:r>
      <w:proofErr w:type="spellEnd"/>
      <w:r w:rsidR="00FE11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17E">
        <w:rPr>
          <w:rFonts w:ascii="Times New Roman" w:hAnsi="Times New Roman" w:cs="Times New Roman"/>
          <w:lang w:val="en-US"/>
        </w:rPr>
        <w:t>consiliului</w:t>
      </w:r>
      <w:proofErr w:type="spellEnd"/>
      <w:r w:rsidR="00FE117E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FE117E">
        <w:rPr>
          <w:rFonts w:ascii="Times New Roman" w:hAnsi="Times New Roman" w:cs="Times New Roman"/>
          <w:lang w:val="en-US"/>
        </w:rPr>
        <w:t>Costaș</w:t>
      </w:r>
      <w:proofErr w:type="spellEnd"/>
      <w:r w:rsidR="00FE11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17E"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                                             L.Ș.</w:t>
      </w:r>
    </w:p>
    <w:p w:rsidR="00D43EF3" w:rsidRDefault="00D43EF3" w:rsidP="0047333F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D43EF3" w:rsidRDefault="00D43EF3" w:rsidP="0047333F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47333F" w:rsidRPr="0047333F" w:rsidRDefault="00F060D6" w:rsidP="0047333F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 w:rsidRPr="00F060D6">
        <w:rPr>
          <w:rFonts w:ascii="Times New Roman" w:hAnsi="Times New Roman" w:cs="Times New Roman"/>
          <w:b/>
          <w:u w:val="single"/>
          <w:lang w:val="en-US"/>
        </w:rPr>
        <w:t>Anexa4</w:t>
      </w:r>
    </w:p>
    <w:p w:rsidR="0047333F" w:rsidRDefault="0047333F" w:rsidP="00AD0E6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D0E63" w:rsidRPr="00AD0E63" w:rsidRDefault="00AD0E63" w:rsidP="00AD0E6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D0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REGULAMENTUL</w:t>
      </w:r>
    </w:p>
    <w:p w:rsidR="00AD0E63" w:rsidRPr="00206145" w:rsidRDefault="00AD0E63" w:rsidP="00AD0E6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</w:t>
      </w:r>
    </w:p>
    <w:p w:rsidR="00AD0E63" w:rsidRPr="00206145" w:rsidRDefault="00AD0E63" w:rsidP="00AD0E6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01B7D" w:rsidRPr="00880720">
        <w:rPr>
          <w:rFonts w:ascii="Times New Roman" w:eastAsia="Times New Roman" w:hAnsi="Times New Roman" w:cs="Times New Roman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01B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Ciucur</w:t>
      </w:r>
      <w:proofErr w:type="spellEnd"/>
      <w:r w:rsidR="00C01B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="00C01B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Mingir</w:t>
      </w:r>
      <w:proofErr w:type="spellEnd"/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Dispoziţii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Regulamentul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Ciucur-Mingir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acestuia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continuare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Regulamentul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determină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evidenţă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control 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Ciucur-Mingir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Ciucur-Mingir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alocarea</w:t>
      </w:r>
      <w:proofErr w:type="spellEnd"/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acestuia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 fond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bănesc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de</w:t>
      </w:r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destinat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acţiuni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excepţional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imprevizibil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care nu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sînt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s.Ciucur-Mingir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ţin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competenţa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Cuantumul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următor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mărime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2%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articolului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18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 397-XV din 16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octombrie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finanţele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lichidarea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consecinţelor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calamităţilor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avariilor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efectuarea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lucrărilor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proiectare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acţiuni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restabilirea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obiectelor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importanţă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locală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(care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află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balanţa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autorităţilor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locale)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calamităţilor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provocate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geologice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periculoase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unic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sinistraţi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recuperarea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legate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transportarea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repartizarea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ajutoarelor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umanitare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01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);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material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serviciului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pompieri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salvatori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îmbunătăţirea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tehnico-materiale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conform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imprevizibil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necesităţi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urgenţă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care,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legislaţia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ţin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competenţa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autorităţilor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încasării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executare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veniturilor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suplimentare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parcursul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stabilită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2%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preconizate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efectuează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alocaţiilor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excepţionale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necesităţi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urgenţă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primarul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dispoziţiei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5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0% din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obligatorie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Evidenţa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utilizării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utilizează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strictă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destinaţia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D0E63" w:rsidRPr="00206145" w:rsidRDefault="00AD0E63" w:rsidP="00AD0E6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17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neutilizat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restituie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conform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situaţiei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31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decembrie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D46E9E" w:rsidRPr="00D43EF3" w:rsidRDefault="00AD0E63" w:rsidP="00F060D6">
      <w:pPr>
        <w:rPr>
          <w:rFonts w:ascii="Times New Roman" w:hAnsi="Times New Roman" w:cs="Times New Roman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Responsabilitatea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revine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primarului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oraşului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D43EF3" w:rsidRDefault="00D43EF3" w:rsidP="00AD0E6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D43EF3" w:rsidRDefault="00D43EF3" w:rsidP="00AD0E6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D43EF3" w:rsidRDefault="00D43EF3" w:rsidP="00AD0E6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AD0E63" w:rsidRPr="00F060D6" w:rsidRDefault="00AD0E63" w:rsidP="00AD0E6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Anexa5</w:t>
      </w:r>
    </w:p>
    <w:p w:rsidR="00AD0E63" w:rsidRPr="00F060D6" w:rsidRDefault="00AD0E63" w:rsidP="00AD0E63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F060D6">
        <w:rPr>
          <w:rFonts w:ascii="Times New Roman" w:hAnsi="Times New Roman" w:cs="Times New Roman"/>
          <w:b/>
          <w:lang w:val="en-US"/>
        </w:rPr>
        <w:t>Efectivul-limită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unităților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de personal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autoritățile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>/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instituțiile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finanțate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din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bugetul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local</w:t>
      </w:r>
    </w:p>
    <w:tbl>
      <w:tblPr>
        <w:tblStyle w:val="a4"/>
        <w:tblW w:w="0" w:type="auto"/>
        <w:tblLook w:val="04A0"/>
      </w:tblPr>
      <w:tblGrid>
        <w:gridCol w:w="6046"/>
        <w:gridCol w:w="1821"/>
        <w:gridCol w:w="1703"/>
      </w:tblGrid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Cod Org1/Org2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Efectivul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personal,unități</w:t>
            </w:r>
            <w:proofErr w:type="spellEnd"/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Aparatul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primarului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1244/10885</w:t>
            </w:r>
            <w:r w:rsidR="00FE117E">
              <w:rPr>
                <w:rFonts w:ascii="Times New Roman" w:hAnsi="Times New Roman" w:cs="Times New Roman"/>
                <w:b/>
                <w:u w:val="single"/>
                <w:lang w:val="en-US"/>
              </w:rPr>
              <w:t>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FE117E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11</w:t>
            </w:r>
            <w:r w:rsidR="001D362A">
              <w:rPr>
                <w:rFonts w:ascii="Times New Roman" w:hAnsi="Times New Roman" w:cs="Times New Roman"/>
                <w:b/>
                <w:u w:val="single"/>
                <w:lang w:val="en-US"/>
              </w:rPr>
              <w:t>,</w:t>
            </w:r>
            <w:r w:rsidR="00AD0E63"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demnitate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publică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conducere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Secretarul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Consiliului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local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execuție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3,0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Contabil-șef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Specialist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problemele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perceperii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fiscale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Specialist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domeniul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reglementării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proprietății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funciare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1D362A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Contabil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1D362A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FE117E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AD0E63" w:rsidRPr="00F060D6">
              <w:rPr>
                <w:rFonts w:ascii="Times New Roman" w:hAnsi="Times New Roman" w:cs="Times New Roman"/>
                <w:b/>
                <w:lang w:val="en-US"/>
              </w:rPr>
              <w:t>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Paznic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FE117E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</w:t>
            </w:r>
            <w:r w:rsidR="00AD0E63" w:rsidRPr="00FE117E">
              <w:rPr>
                <w:rFonts w:ascii="Times New Roman" w:hAnsi="Times New Roman" w:cs="Times New Roman"/>
                <w:i/>
                <w:lang w:val="en-US"/>
              </w:rPr>
              <w:t>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Fochist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Conducător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auto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Electrician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FE117E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17E" w:rsidRPr="00FE117E" w:rsidRDefault="00FE117E" w:rsidP="00FE117E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E117E">
              <w:rPr>
                <w:rFonts w:ascii="Times New Roman" w:hAnsi="Times New Roman" w:cs="Times New Roman"/>
                <w:b/>
                <w:lang w:val="en-US"/>
              </w:rPr>
              <w:t>Aprovizionarea</w:t>
            </w:r>
            <w:proofErr w:type="spellEnd"/>
            <w:r w:rsidRPr="00FE117E">
              <w:rPr>
                <w:rFonts w:ascii="Times New Roman" w:hAnsi="Times New Roman" w:cs="Times New Roman"/>
                <w:b/>
                <w:lang w:val="en-US"/>
              </w:rPr>
              <w:t xml:space="preserve"> cu </w:t>
            </w:r>
            <w:proofErr w:type="spellStart"/>
            <w:r w:rsidRPr="00FE117E">
              <w:rPr>
                <w:rFonts w:ascii="Times New Roman" w:hAnsi="Times New Roman" w:cs="Times New Roman"/>
                <w:b/>
                <w:lang w:val="en-US"/>
              </w:rPr>
              <w:t>apă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17E" w:rsidRPr="00FE117E" w:rsidRDefault="00FE117E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117E">
              <w:rPr>
                <w:rFonts w:ascii="Times New Roman" w:hAnsi="Times New Roman" w:cs="Times New Roman"/>
                <w:b/>
                <w:lang w:val="en-US"/>
              </w:rPr>
              <w:t>1244/10885C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17E" w:rsidRPr="00FE117E" w:rsidRDefault="00FE117E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FE117E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17E" w:rsidRPr="00FE117E" w:rsidRDefault="00FE117E" w:rsidP="00FE117E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Lăcătuș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17E" w:rsidRPr="00FE117E" w:rsidRDefault="00FE117E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17E" w:rsidRPr="00FE117E" w:rsidRDefault="00FE117E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Biblioteca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1244/06583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C31B7D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C31B7D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Bibliotecar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C31B7D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0,5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Casa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cultură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,,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Ilarion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CIOBANU,,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1244/06584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130E73" w:rsidP="00AD0E63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6,0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conducere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Director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130E7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DC4904" w:rsidP="00AD0E6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Acompaniator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130E7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4,0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Paznic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AD0E63" w:rsidP="00AD0E6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E117E" w:rsidRDefault="00AD0E63" w:rsidP="00AD0E6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2,0</w:t>
            </w:r>
          </w:p>
        </w:tc>
      </w:tr>
      <w:tr w:rsidR="00AD0E63" w:rsidRPr="00F060D6" w:rsidTr="00AD0E63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TOTAL UNITĂȚI PE PRIMĂRIE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AD0E63" w:rsidRPr="00F060D6" w:rsidRDefault="00AD0E63" w:rsidP="00AD0E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63" w:rsidRPr="00F060D6" w:rsidRDefault="005C783A" w:rsidP="00AD0E6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19,5</w:t>
            </w:r>
          </w:p>
        </w:tc>
      </w:tr>
    </w:tbl>
    <w:p w:rsidR="00AD0E63" w:rsidRDefault="00AD0E63" w:rsidP="00AD0E63">
      <w:pPr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lang w:val="ro-RO"/>
        </w:rPr>
        <w:t xml:space="preserve">Secretar al consiliului   </w:t>
      </w:r>
      <w:proofErr w:type="spellStart"/>
      <w:r w:rsidR="00FE117E">
        <w:rPr>
          <w:rFonts w:ascii="Times New Roman" w:hAnsi="Times New Roman" w:cs="Times New Roman"/>
          <w:lang w:val="en-US"/>
        </w:rPr>
        <w:t>Costaș</w:t>
      </w:r>
      <w:proofErr w:type="spellEnd"/>
      <w:r w:rsidR="00FE11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17E"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ro-RO"/>
        </w:rPr>
        <w:t xml:space="preserve">                                                             L.Ș.</w:t>
      </w:r>
    </w:p>
    <w:p w:rsidR="00AD0E63" w:rsidRPr="00F060D6" w:rsidRDefault="00AD0E63" w:rsidP="00F060D6">
      <w:pPr>
        <w:rPr>
          <w:rFonts w:ascii="Times New Roman" w:hAnsi="Times New Roman" w:cs="Times New Roman"/>
          <w:lang w:val="ro-RO"/>
        </w:rPr>
      </w:pPr>
    </w:p>
    <w:p w:rsidR="00F060D6" w:rsidRPr="00F060D6" w:rsidRDefault="00AD0E63" w:rsidP="00F060D6">
      <w:pPr>
        <w:jc w:val="right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Anexa 6</w:t>
      </w:r>
    </w:p>
    <w:p w:rsidR="00F060D6" w:rsidRPr="00F060D6" w:rsidRDefault="00F060D6" w:rsidP="00F060D6">
      <w:pPr>
        <w:jc w:val="center"/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b/>
          <w:lang w:val="ro-RO"/>
        </w:rPr>
        <w:lastRenderedPageBreak/>
        <w:t>Nomenclatorul tarifelor pentru serviciile cu plată prestate de APL</w:t>
      </w:r>
    </w:p>
    <w:tbl>
      <w:tblPr>
        <w:tblStyle w:val="a4"/>
        <w:tblW w:w="0" w:type="auto"/>
        <w:tblLook w:val="04A0"/>
      </w:tblPr>
      <w:tblGrid>
        <w:gridCol w:w="546"/>
        <w:gridCol w:w="5837"/>
        <w:gridCol w:w="3187"/>
      </w:tblGrid>
      <w:tr w:rsidR="00F060D6" w:rsidRPr="00F060D6" w:rsidTr="00AD0E63">
        <w:tc>
          <w:tcPr>
            <w:tcW w:w="546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N/o</w:t>
            </w:r>
          </w:p>
        </w:tc>
        <w:tc>
          <w:tcPr>
            <w:tcW w:w="5837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Denumirea</w:t>
            </w:r>
          </w:p>
        </w:tc>
        <w:tc>
          <w:tcPr>
            <w:tcW w:w="3187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</w:t>
            </w:r>
          </w:p>
        </w:tc>
      </w:tr>
      <w:tr w:rsidR="00F060D6" w:rsidRPr="00F060D6" w:rsidTr="00AD0E63">
        <w:tc>
          <w:tcPr>
            <w:tcW w:w="546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37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holului Casei de cultură</w:t>
            </w:r>
          </w:p>
        </w:tc>
        <w:tc>
          <w:tcPr>
            <w:tcW w:w="3187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100lei/ora</w:t>
            </w:r>
          </w:p>
        </w:tc>
      </w:tr>
      <w:tr w:rsidR="00F060D6" w:rsidRPr="00F060D6" w:rsidTr="00AD0E63">
        <w:tc>
          <w:tcPr>
            <w:tcW w:w="546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37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sălii mari a Casei de cultură</w:t>
            </w:r>
          </w:p>
        </w:tc>
        <w:tc>
          <w:tcPr>
            <w:tcW w:w="3187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250 lei/ora</w:t>
            </w:r>
          </w:p>
        </w:tc>
      </w:tr>
      <w:tr w:rsidR="00F060D6" w:rsidRPr="00F060D6" w:rsidTr="00AD0E63">
        <w:tc>
          <w:tcPr>
            <w:tcW w:w="546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37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sălii mici a Casei de cultură</w:t>
            </w:r>
          </w:p>
        </w:tc>
        <w:tc>
          <w:tcPr>
            <w:tcW w:w="3187" w:type="dxa"/>
          </w:tcPr>
          <w:p w:rsidR="00F060D6" w:rsidRPr="00F060D6" w:rsidRDefault="00F060D6" w:rsidP="00AD0E6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80 lei/ora</w:t>
            </w:r>
          </w:p>
        </w:tc>
      </w:tr>
      <w:tr w:rsidR="00F060D6" w:rsidRPr="00F060D6" w:rsidTr="00AD0E63">
        <w:tc>
          <w:tcPr>
            <w:tcW w:w="546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5837" w:type="dxa"/>
          </w:tcPr>
          <w:p w:rsidR="00F060D6" w:rsidRPr="00F060D6" w:rsidRDefault="00F060D6" w:rsidP="00AD0E6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Plata unui m</w:t>
            </w:r>
            <w:r w:rsidRPr="00F060D6">
              <w:rPr>
                <w:rFonts w:ascii="Times New Roman" w:hAnsi="Times New Roman" w:cs="Times New Roman"/>
                <w:vertAlign w:val="superscript"/>
                <w:lang w:val="ro-RO"/>
              </w:rPr>
              <w:t>3</w:t>
            </w:r>
            <w:r w:rsidRPr="00F060D6">
              <w:rPr>
                <w:rFonts w:ascii="Times New Roman" w:hAnsi="Times New Roman" w:cs="Times New Roman"/>
                <w:lang w:val="ro-RO"/>
              </w:rPr>
              <w:t xml:space="preserve"> de apă potabilă consumată de populație</w:t>
            </w:r>
          </w:p>
        </w:tc>
        <w:tc>
          <w:tcPr>
            <w:tcW w:w="3187" w:type="dxa"/>
          </w:tcPr>
          <w:p w:rsidR="00F060D6" w:rsidRPr="00F060D6" w:rsidRDefault="008F0D6F" w:rsidP="00AD0E63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  <w:r w:rsidR="00F060D6" w:rsidRPr="00F060D6">
              <w:rPr>
                <w:rFonts w:ascii="Times New Roman" w:hAnsi="Times New Roman" w:cs="Times New Roman"/>
                <w:lang w:val="ro-RO"/>
              </w:rPr>
              <w:t xml:space="preserve"> lei/m</w:t>
            </w:r>
            <w:r w:rsidR="00F060D6" w:rsidRPr="00F060D6">
              <w:rPr>
                <w:rFonts w:ascii="Times New Roman" w:hAnsi="Times New Roman" w:cs="Times New Roman"/>
                <w:vertAlign w:val="superscript"/>
                <w:lang w:val="ro-RO"/>
              </w:rPr>
              <w:t>3</w:t>
            </w:r>
          </w:p>
        </w:tc>
      </w:tr>
    </w:tbl>
    <w:p w:rsidR="00DD1651" w:rsidRPr="00F060D6" w:rsidRDefault="00F060D6">
      <w:pPr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lang w:val="ro-RO"/>
        </w:rPr>
        <w:t xml:space="preserve">Secretar al consiliului </w:t>
      </w:r>
      <w:proofErr w:type="spellStart"/>
      <w:r w:rsidR="00FE117E">
        <w:rPr>
          <w:rFonts w:ascii="Times New Roman" w:hAnsi="Times New Roman" w:cs="Times New Roman"/>
          <w:lang w:val="en-US"/>
        </w:rPr>
        <w:t>Costaș</w:t>
      </w:r>
      <w:proofErr w:type="spellEnd"/>
      <w:r w:rsidR="00FE11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17E"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ro-RO"/>
        </w:rPr>
        <w:t xml:space="preserve">                                                    L.Ș</w:t>
      </w:r>
    </w:p>
    <w:sectPr w:rsidR="00DD1651" w:rsidRPr="00F060D6" w:rsidSect="0019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F4"/>
    <w:multiLevelType w:val="hybridMultilevel"/>
    <w:tmpl w:val="E57E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060"/>
    <w:multiLevelType w:val="hybridMultilevel"/>
    <w:tmpl w:val="5D74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60EDB"/>
    <w:multiLevelType w:val="hybridMultilevel"/>
    <w:tmpl w:val="3702B4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4A1"/>
    <w:multiLevelType w:val="hybridMultilevel"/>
    <w:tmpl w:val="B91C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C5100"/>
    <w:multiLevelType w:val="hybridMultilevel"/>
    <w:tmpl w:val="3EA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43BCF"/>
    <w:multiLevelType w:val="hybridMultilevel"/>
    <w:tmpl w:val="48403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741CE"/>
    <w:multiLevelType w:val="hybridMultilevel"/>
    <w:tmpl w:val="A2B8E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977A8"/>
    <w:multiLevelType w:val="hybridMultilevel"/>
    <w:tmpl w:val="673A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7670E"/>
    <w:multiLevelType w:val="multilevel"/>
    <w:tmpl w:val="A4721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3401EB5"/>
    <w:multiLevelType w:val="hybridMultilevel"/>
    <w:tmpl w:val="4C8E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31DC6"/>
    <w:multiLevelType w:val="hybridMultilevel"/>
    <w:tmpl w:val="D016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C79F8"/>
    <w:multiLevelType w:val="hybridMultilevel"/>
    <w:tmpl w:val="47D8C110"/>
    <w:lvl w:ilvl="0" w:tplc="2BF48F20">
      <w:start w:val="2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EE7DE5"/>
    <w:multiLevelType w:val="hybridMultilevel"/>
    <w:tmpl w:val="FCF02158"/>
    <w:lvl w:ilvl="0" w:tplc="F4EEE1E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11AB0"/>
    <w:multiLevelType w:val="hybridMultilevel"/>
    <w:tmpl w:val="A4803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07651"/>
    <w:multiLevelType w:val="hybridMultilevel"/>
    <w:tmpl w:val="77C894C8"/>
    <w:lvl w:ilvl="0" w:tplc="21AAFE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6290F"/>
    <w:multiLevelType w:val="hybridMultilevel"/>
    <w:tmpl w:val="B412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D7283C"/>
    <w:multiLevelType w:val="hybridMultilevel"/>
    <w:tmpl w:val="6512C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9C1DB7"/>
    <w:multiLevelType w:val="hybridMultilevel"/>
    <w:tmpl w:val="2D6623E2"/>
    <w:lvl w:ilvl="0" w:tplc="50C4E9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0D6"/>
    <w:rsid w:val="0000205C"/>
    <w:rsid w:val="00130E73"/>
    <w:rsid w:val="00163AC3"/>
    <w:rsid w:val="00191088"/>
    <w:rsid w:val="001D362A"/>
    <w:rsid w:val="0020167B"/>
    <w:rsid w:val="002B4006"/>
    <w:rsid w:val="002E31ED"/>
    <w:rsid w:val="00340173"/>
    <w:rsid w:val="0038270B"/>
    <w:rsid w:val="003E7EEA"/>
    <w:rsid w:val="004416C2"/>
    <w:rsid w:val="004456A2"/>
    <w:rsid w:val="00465686"/>
    <w:rsid w:val="0047333F"/>
    <w:rsid w:val="0048019C"/>
    <w:rsid w:val="004E2D4C"/>
    <w:rsid w:val="00562125"/>
    <w:rsid w:val="005C783A"/>
    <w:rsid w:val="00696DC2"/>
    <w:rsid w:val="006C3BD4"/>
    <w:rsid w:val="006F5C15"/>
    <w:rsid w:val="00700A5A"/>
    <w:rsid w:val="00823040"/>
    <w:rsid w:val="00880720"/>
    <w:rsid w:val="0089580E"/>
    <w:rsid w:val="008F0D6F"/>
    <w:rsid w:val="00994CE6"/>
    <w:rsid w:val="009E745B"/>
    <w:rsid w:val="00AD0E63"/>
    <w:rsid w:val="00AD580E"/>
    <w:rsid w:val="00B126E5"/>
    <w:rsid w:val="00BA5F34"/>
    <w:rsid w:val="00C01B7D"/>
    <w:rsid w:val="00C31B7D"/>
    <w:rsid w:val="00C43F3D"/>
    <w:rsid w:val="00CF45E3"/>
    <w:rsid w:val="00D33118"/>
    <w:rsid w:val="00D43EF3"/>
    <w:rsid w:val="00D46E9E"/>
    <w:rsid w:val="00DA4DCF"/>
    <w:rsid w:val="00DC4904"/>
    <w:rsid w:val="00DD1651"/>
    <w:rsid w:val="00E90319"/>
    <w:rsid w:val="00ED35B2"/>
    <w:rsid w:val="00F060D6"/>
    <w:rsid w:val="00F27219"/>
    <w:rsid w:val="00FE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F060D6"/>
    <w:pPr>
      <w:ind w:left="720"/>
      <w:contextualSpacing/>
    </w:pPr>
  </w:style>
  <w:style w:type="paragraph" w:customStyle="1" w:styleId="1">
    <w:name w:val="Абзац списка1"/>
    <w:basedOn w:val="a"/>
    <w:rsid w:val="00F060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F06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4</cp:revision>
  <cp:lastPrinted>2020-03-25T09:16:00Z</cp:lastPrinted>
  <dcterms:created xsi:type="dcterms:W3CDTF">2022-11-08T09:04:00Z</dcterms:created>
  <dcterms:modified xsi:type="dcterms:W3CDTF">2022-11-08T09:09:00Z</dcterms:modified>
</cp:coreProperties>
</file>